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42 TC/KB Hướng dẫn thanh toán tiền công trái xây dựng tổ quốc loại có kỳ hạn 5 năm phát hành sau 1/6/1985 đến cuối năm 1986, đến hạn thanh toán từ quý 3/1990 theo Quyết định số 257/CT ngày 11/7/1990 của Chủ tịch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42 TC/KB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w:t>
            </w:r>
            <w:r>
              <w:rPr>
                <w:b w:val="0"/>
                <w:i/>
              </w:rPr>
              <w:t>i ngà</w:t>
            </w:r>
            <w:r>
              <w:rPr>
                <w:b w:val="0"/>
                <w:i/>
              </w:rPr>
              <w:t>y 25 th</w:t>
            </w:r>
            <w:r>
              <w:rPr>
                <w:b w:val="0"/>
                <w:i/>
              </w:rPr>
              <w:t>á</w:t>
            </w:r>
            <w:r>
              <w:rPr>
                <w:b w:val="0"/>
                <w:i/>
              </w:rPr>
              <w:t>ng 10 n</w:t>
            </w:r>
            <w:r>
              <w:rPr>
                <w:b w:val="0"/>
                <w:i/>
              </w:rPr>
              <w:t>ă</w:t>
            </w:r>
            <w:r>
              <w:rPr>
                <w:b w:val="0"/>
                <w:i/>
              </w:rPr>
              <w:t>m 1990</w:t>
            </w:r>
          </w:p>
        </w:tc>
      </w:tr>
    </w:tbl>
    <w:p>
      <w:r>
        <w:rPr>
          <w:b/>
          <w:i w:val="0"/>
        </w:rPr>
        <w:t>THÔ</w:t>
      </w:r>
      <w:r>
        <w:rPr>
          <w:b/>
          <w:i w:val="0"/>
        </w:rPr>
        <w:t>NG T</w:t>
      </w:r>
      <w:r>
        <w:rPr>
          <w:b/>
          <w:i w:val="0"/>
        </w:rPr>
        <w:t>Ư</w:t>
      </w:r>
    </w:p>
    <w:p>
      <w:r>
        <w:rPr>
          <w:b/>
          <w:i w:val="0"/>
        </w:rPr>
        <w:t>H</w:t>
      </w:r>
      <w:r>
        <w:rPr>
          <w:b/>
          <w:i w:val="0"/>
        </w:rPr>
        <w:t>ướ</w:t>
      </w:r>
      <w:r>
        <w:rPr>
          <w:b/>
          <w:i w:val="0"/>
        </w:rPr>
        <w:t>ng d</w:t>
      </w:r>
      <w:r>
        <w:rPr>
          <w:b/>
          <w:i w:val="0"/>
        </w:rPr>
        <w:t>ẫ</w:t>
      </w:r>
      <w:r>
        <w:rPr>
          <w:b/>
          <w:i w:val="0"/>
        </w:rPr>
        <w:t>n thanh to</w:t>
      </w:r>
      <w:r>
        <w:rPr>
          <w:b/>
          <w:i w:val="0"/>
        </w:rPr>
        <w:t>á</w:t>
      </w:r>
      <w:r>
        <w:rPr>
          <w:b/>
          <w:i w:val="0"/>
        </w:rPr>
        <w:t>n ti</w:t>
      </w:r>
      <w:r>
        <w:rPr>
          <w:b/>
          <w:i w:val="0"/>
        </w:rPr>
        <w:t>ề</w:t>
      </w:r>
      <w:r>
        <w:rPr>
          <w:b/>
          <w:i w:val="0"/>
        </w:rPr>
        <w:t>n c</w:t>
      </w:r>
      <w:r>
        <w:rPr>
          <w:b/>
          <w:i w:val="0"/>
        </w:rPr>
        <w:t>ô</w:t>
      </w:r>
      <w:r>
        <w:rPr>
          <w:b/>
          <w:i w:val="0"/>
        </w:rPr>
        <w:t>ng tr</w:t>
      </w:r>
      <w:r>
        <w:rPr>
          <w:b/>
          <w:i w:val="0"/>
        </w:rPr>
        <w:t>á</w:t>
      </w:r>
      <w:r>
        <w:rPr>
          <w:b/>
          <w:i w:val="0"/>
        </w:rPr>
        <w:t>i x</w:t>
      </w:r>
      <w:r>
        <w:rPr>
          <w:b/>
          <w:i w:val="0"/>
        </w:rPr>
        <w:t>â</w:t>
      </w:r>
      <w:r>
        <w:rPr>
          <w:b/>
          <w:i w:val="0"/>
        </w:rPr>
        <w:t>y d</w:t>
      </w:r>
      <w:r>
        <w:rPr>
          <w:b/>
          <w:i w:val="0"/>
        </w:rPr>
        <w:t>ự</w:t>
      </w:r>
      <w:r>
        <w:rPr>
          <w:b/>
          <w:i w:val="0"/>
        </w:rPr>
        <w:t>ng t</w:t>
      </w:r>
      <w:r>
        <w:rPr>
          <w:b/>
          <w:i w:val="0"/>
        </w:rPr>
        <w:t xml:space="preserve">ổ </w:t>
      </w:r>
      <w:r>
        <w:rPr>
          <w:b/>
          <w:i w:val="0"/>
        </w:rPr>
        <w:t>qu</w:t>
      </w:r>
      <w:r>
        <w:rPr>
          <w:b/>
          <w:i w:val="0"/>
        </w:rPr>
        <w:t>ố</w:t>
      </w:r>
      <w:r>
        <w:rPr>
          <w:b/>
          <w:i w:val="0"/>
        </w:rPr>
        <w:t>c</w:t>
      </w:r>
      <w:r>
        <w:rPr>
          <w:b/>
          <w:i w:val="0"/>
        </w:rPr>
        <w:t xml:space="preserve"> </w:t>
      </w:r>
      <w:r>
        <w:rPr>
          <w:b/>
          <w:i w:val="0"/>
        </w:rPr>
        <w:t>loạ</w:t>
      </w:r>
      <w:r>
        <w:rPr>
          <w:b/>
          <w:i w:val="0"/>
        </w:rPr>
        <w:t>i c</w:t>
      </w:r>
      <w:r>
        <w:rPr>
          <w:b/>
          <w:i w:val="0"/>
        </w:rPr>
        <w:t xml:space="preserve">ó </w:t>
      </w:r>
      <w:r>
        <w:rPr>
          <w:b/>
          <w:i w:val="0"/>
        </w:rPr>
        <w:t>k</w:t>
      </w:r>
      <w:r>
        <w:rPr>
          <w:b/>
          <w:i w:val="0"/>
        </w:rPr>
        <w:t xml:space="preserve">ỳ </w:t>
      </w:r>
      <w:r>
        <w:rPr>
          <w:b/>
          <w:i w:val="0"/>
        </w:rPr>
        <w:t>h</w:t>
      </w:r>
      <w:r>
        <w:rPr>
          <w:b/>
          <w:i w:val="0"/>
        </w:rPr>
        <w:t>ạ</w:t>
      </w:r>
      <w:r>
        <w:rPr>
          <w:b/>
          <w:i w:val="0"/>
        </w:rPr>
        <w:t>n 5 n</w:t>
      </w:r>
      <w:r>
        <w:rPr>
          <w:b/>
          <w:i w:val="0"/>
        </w:rPr>
        <w:t>ă</w:t>
      </w:r>
      <w:r>
        <w:rPr>
          <w:b/>
          <w:i w:val="0"/>
        </w:rPr>
        <w:t>m ph</w:t>
      </w:r>
      <w:r>
        <w:rPr>
          <w:b/>
          <w:i w:val="0"/>
        </w:rPr>
        <w:t>á</w:t>
      </w:r>
      <w:r>
        <w:rPr>
          <w:b/>
          <w:i w:val="0"/>
        </w:rPr>
        <w:t>t h</w:t>
      </w:r>
      <w:r>
        <w:rPr>
          <w:b/>
          <w:i w:val="0"/>
        </w:rPr>
        <w:t>à</w:t>
      </w:r>
      <w:r>
        <w:rPr>
          <w:b/>
          <w:i w:val="0"/>
        </w:rPr>
        <w:t xml:space="preserve">nh sau 1/6/1985 </w:t>
      </w:r>
      <w:r>
        <w:rPr>
          <w:b/>
          <w:i w:val="0"/>
        </w:rPr>
        <w:t>đế</w:t>
      </w:r>
      <w:r>
        <w:rPr>
          <w:b/>
          <w:i w:val="0"/>
        </w:rPr>
        <w:t>n cu</w:t>
      </w:r>
      <w:r>
        <w:rPr>
          <w:b/>
          <w:i w:val="0"/>
        </w:rPr>
        <w:t>ố</w:t>
      </w:r>
      <w:r>
        <w:rPr>
          <w:b/>
          <w:i w:val="0"/>
        </w:rPr>
        <w:t>i n</w:t>
      </w:r>
      <w:r>
        <w:rPr>
          <w:b/>
          <w:i w:val="0"/>
        </w:rPr>
        <w:t>ă</w:t>
      </w:r>
      <w:r>
        <w:rPr>
          <w:b/>
          <w:i w:val="0"/>
        </w:rPr>
        <w:t xml:space="preserve">m 1986, </w:t>
      </w:r>
      <w:r>
        <w:rPr>
          <w:b/>
          <w:i w:val="0"/>
        </w:rPr>
        <w:t>đế</w:t>
      </w:r>
      <w:r>
        <w:rPr>
          <w:b/>
          <w:i w:val="0"/>
        </w:rPr>
        <w:t>n h</w:t>
      </w:r>
      <w:r>
        <w:rPr>
          <w:b/>
          <w:i w:val="0"/>
        </w:rPr>
        <w:t>ạ</w:t>
      </w:r>
      <w:r>
        <w:rPr>
          <w:b/>
          <w:i w:val="0"/>
        </w:rPr>
        <w:t>n thanh to</w:t>
      </w:r>
      <w:r>
        <w:rPr>
          <w:b/>
          <w:i w:val="0"/>
        </w:rPr>
        <w:t>á</w:t>
      </w:r>
      <w:r>
        <w:rPr>
          <w:b/>
          <w:i w:val="0"/>
        </w:rPr>
        <w:t>n t</w:t>
      </w:r>
      <w:r>
        <w:rPr>
          <w:b/>
          <w:i w:val="0"/>
        </w:rPr>
        <w:t xml:space="preserve">ừ </w:t>
      </w:r>
      <w:r>
        <w:rPr>
          <w:b/>
          <w:i w:val="0"/>
        </w:rPr>
        <w:t>qu</w:t>
      </w:r>
      <w:r>
        <w:rPr>
          <w:b/>
          <w:i w:val="0"/>
        </w:rPr>
        <w:t xml:space="preserve">ý 3/1990 theo Quyết </w:t>
      </w:r>
      <w:r>
        <w:rPr>
          <w:b/>
          <w:i w:val="0"/>
        </w:rPr>
        <w:t>định số</w:t>
      </w:r>
      <w:r>
        <w:rPr>
          <w:b/>
          <w:i w:val="0"/>
        </w:rPr>
        <w:t xml:space="preserve"> 257/CT ngày 11/7/1990 của Chủ tịch Hội </w:t>
      </w:r>
      <w:r>
        <w:rPr>
          <w:b/>
          <w:i w:val="0"/>
        </w:rPr>
        <w:t xml:space="preserve">đồng </w:t>
      </w:r>
      <w:r>
        <w:rPr>
          <w:b/>
          <w:i w:val="0"/>
        </w:rPr>
        <w:t xml:space="preserve">Bộ </w:t>
      </w:r>
      <w:r>
        <w:rPr>
          <w:b/>
          <w:i w:val="0"/>
        </w:rPr>
        <w:t>trưở</w:t>
      </w:r>
      <w:r>
        <w:rPr>
          <w:b/>
          <w:i w:val="0"/>
        </w:rPr>
        <w:t>ng</w:t>
      </w:r>
    </w:p>
    <w:p>
      <w:r>
        <w:rPr>
          <w:b w:val="0"/>
          <w:i w:val="0"/>
        </w:rPr>
        <w:t>Thi hành Quyết định số 257/CT ngày 11/7/1990 của Chủ tịch Hội đồng Bộ trưởng về việc thanh toán tiền công trái XDTQ phát hành trong thời gian từ cuối năm 1985 đến hết năm 1986, loại có kỳ hạn 5 năm đến hạn thanh toán từ quý 3/1990; Bộ Tà</w:t>
      </w:r>
      <w:r>
        <w:rPr>
          <w:b w:val="0"/>
          <w:i w:val="0"/>
        </w:rPr>
        <w:t>i ch</w:t>
      </w:r>
      <w:r>
        <w:rPr>
          <w:b w:val="0"/>
          <w:i w:val="0"/>
        </w:rPr>
        <w:t>í</w:t>
      </w:r>
      <w:r>
        <w:rPr>
          <w:b w:val="0"/>
          <w:i w:val="0"/>
        </w:rPr>
        <w:t>nh h</w:t>
      </w:r>
      <w:r>
        <w:rPr>
          <w:b w:val="0"/>
          <w:i w:val="0"/>
        </w:rPr>
        <w:t xml:space="preserve">ướng dẫn thực hiện như </w:t>
      </w:r>
      <w:r>
        <w:rPr>
          <w:b w:val="0"/>
          <w:i w:val="0"/>
        </w:rPr>
        <w:t>sau:</w:t>
      </w:r>
    </w:p>
    <w:p>
      <w:pPr>
        <w:jc w:val="center"/>
      </w:pPr>
      <w:r>
        <w:rPr>
          <w:b/>
          <w:i w:val="0"/>
        </w:rPr>
        <w:t>PHẦN I - PHẠM VI, NGUYÊN TẮC VÀ PHƯƠNG THỨC THANH TOÁN TIỀN CÔNG TRÁI XDTQ</w:t>
      </w:r>
    </w:p>
    <w:p>
      <w:r>
        <w:rPr>
          <w:b w:val="0"/>
          <w:i w:val="0"/>
        </w:rPr>
        <w:t>1/ Các loại phiếu công trái thu và ghi bằng tiền, bằng thóc, bằng vàng đã được phát hành trong thời gian từ sau ngày 1/6/85 đến hết năm 1986 theo Pháp lệnh ngày 30/5/1985 của Hội đồng Nhà nước quy định bổ sung, sửa đổi về việc phát hành công trái XDTQ và theo đúng hướng dẫn của Ngân hàng Nhà nước Việt nam tại văn bản số 205/QTK ngày 6/7/19985 về việc phát hành phiếu công trái có đóng dấu kỳ hạn 5 năm, lãi suất 2% năm trên cả 2 mặt của tờ phiếu công trái loại kỳ hạn 10 năm (đã in đợt trước) để thu tiền, thu thóc; các loại phiếu hợp lệ nếu đủ thời hạn 5 năm kể từ ngày mua sẽ được thanh toán từ quý 3/1990 đến hết ngày 31/12/1991. Sau thời gian quy định nói trên, mọi trường hợp chậm thanh toán của các loại phiếu công trái có kỳ hạn 5 năm phát hành trong thời gian nói trên cũng chỉ được thanh toán và hưởng lãi suất đúng hạn 5 năm.</w:t>
      </w:r>
    </w:p>
    <w:p>
      <w:r>
        <w:rPr>
          <w:b w:val="0"/>
          <w:i w:val="0"/>
        </w:rPr>
        <w:t>2/ Mọi phiếu công trái thu và ghi bằng tiền, bằng thóc, bằng vàng đều được thanh toán tại Kho bạc Nhà nước tỉnh, thành phố, đặc khu và quận huyện nhằm tạo điều kiện cho người sở hữu phiếu công trái thanh toán được nhanh chóng, thuận lợi.</w:t>
      </w:r>
    </w:p>
    <w:p>
      <w:r>
        <w:rPr>
          <w:b w:val="0"/>
          <w:i w:val="0"/>
        </w:rPr>
        <w:t>3/ Việc thanh toán tiền công trái được thực hiện theo các nguyên tắc sau đây:</w:t>
      </w:r>
    </w:p>
    <w:p>
      <w:r>
        <w:rPr>
          <w:b w:val="0"/>
          <w:i w:val="0"/>
        </w:rPr>
        <w:t>a) Giá trị phiếu công trái thu và ghi bằng tiền: khi thanh toán sẽ được tính lại giá trị căn cứ vào sự thay đổi của chỉ số giá cả bình quân của 10 mặt hàng bảo đảm giá trị tiền mua công trái của năm thanh toán so với năm phát hành công trái.</w:t>
      </w:r>
    </w:p>
    <w:p>
      <w:r>
        <w:rPr>
          <w:b w:val="0"/>
          <w:i w:val="0"/>
        </w:rPr>
        <w:t>Giá cả những mặt hàng bảo đảm giá trị của tiền mua công trái được áp dụng thống nhất trong cả nước, không quy định theo khu vực.</w:t>
      </w:r>
    </w:p>
    <w:p>
      <w:r>
        <w:rPr>
          <w:b w:val="0"/>
          <w:i w:val="0"/>
        </w:rPr>
        <w:t>b) Giá trị phiếu công trái thu và ghi bằng thóc: khi thanh toán sẽ được tính thành tiền (cả gốc và lãi) theo giá thóc do Bộ Tài chính công bố sau khi đã tham khảo ý kiến của các ngành và các địa phương.</w:t>
      </w:r>
    </w:p>
    <w:p>
      <w:r>
        <w:rPr>
          <w:b w:val="0"/>
          <w:i w:val="0"/>
        </w:rPr>
        <w:t>Ghi chú: Trước mắt, trong quý 4/1990 giá cả về 10 mặt hàng đảm bảo giá trị tiền mua công trái và giá thóc để tính và thanh toán công trái kỳ hạn 5 năm căn cứ vào Quyết định số 407 TC/CĐTC ngày 19/9/1990 và số 406 TC/CĐTC ngày 19/9/1990 của Bộ Tài chính.</w:t>
      </w:r>
    </w:p>
    <w:p>
      <w:r>
        <w:rPr>
          <w:b w:val="0"/>
          <w:i w:val="0"/>
        </w:rPr>
        <w:t>c) Phiếu công trái thu và ghi bằng vàng: khi thanh toán sẽ được trả bằng vàng theo đúng trọng lượng và chất lượng vàng ghi trên phiếu công trái đối với trường hợp người sở hữu phiếu công trái muốn được thanh toán bằng vàng. Công ty kinh doanh vàng bạc địa phương trực thuộc Ngân hàng Nhà nước Việt nam, được Bộ Tài chính ủy nhiệm sẽ chi trả phiếu công trái ghi bằng vàng và sẽ thanh toán với Chi nhánh, Chi cục Kho bạc theo giá vàng bán ra tại thời điểm thanh toán. Riêng số lãi được hưởng (bằng 10% trọng lượng vàng ghi trên phiếu công trái, tức 2% năm) được thanh toán bằng tiền Việt nam theo giá vàng mua vào của Công ty kinh doanh vàng bạc địa phương ở thời điểm thanh toán.</w:t>
      </w:r>
    </w:p>
    <w:p>
      <w:r>
        <w:rPr>
          <w:b w:val="0"/>
          <w:i w:val="0"/>
        </w:rPr>
        <w:t>Nếu người sở hữu phiếu công trái ghi bằng vàng muốn được thanh toán cả gốc và lãi bằng tiền Việt nam, thì cũng được thanh toán toàn bộ bằng tiền Việt nam tính theo giá vàng mua vào của Công ty kinh doanh vàng bạc địa phương ở thời điểm thanh toán (Nghị định số 59/HĐBT ngày 12/4/1984 bổ sung Nghị định số 145/HĐBT quy định chi tiết thi hành Pháp lệnh về việc phát hành công trái XDTQ)</w:t>
      </w:r>
    </w:p>
    <w:p>
      <w:r>
        <w:rPr>
          <w:b w:val="0"/>
          <w:i w:val="0"/>
        </w:rPr>
        <w:t>4/ Các loại phiếu công trái có ghi tên người mua, có đóng dấu năm phát hành (theo đúng quy định của Ngân hàng Nhà nước Việt nam tại văn bản số 205/QTK ngày 6/7/1985 kích thước của dấu: "dài 4cm, rộng 1cm", nội dung dấu: "kỳ hạn 5 năm, lãi suất 2% năm") được đóng trên cả 2 mặt của tờ phiếu công trái cũ loại kỳ hạn 10 năm đã in đợt trước để phát hành) là chứng từ hợp lệ để thanh toán. Trước khi thanh toán, cán bộ kế toán Kho bạc cần đối soát với hồ sơ gốc về mọi thủ tục khi mua công trái tại quỹ tiết kiệm cơ sở, như: việc nộp tiền, thu tiền, viết phiếu và trao phiếu công trái cho người mua và các thủ tục cần thiết khác, như: báo mất phiếu, chuyển quyền sở hữu phiếu công trái, di chuyển nơi cư trú ....</w:t>
      </w:r>
    </w:p>
    <w:p>
      <w:r>
        <w:rPr>
          <w:b w:val="0"/>
          <w:i w:val="0"/>
        </w:rPr>
        <w:t>Đối với phiếu công trái đã được chuyển nhượng, khi thanh toán ngoài phiếu công trái có chứng nhận đã làm thủ tục chuyển nhượng, người được chuyển nhượng phải xuất trình đơn đã được chính quyền địa phương hoặc cơ quan có thẩm quyền xác nhận của các lần  chuyển nhượng (theo điều 5 Nghị định số 145/HĐBT ngày 6/12/1983 của HĐBT)</w:t>
      </w:r>
    </w:p>
    <w:p>
      <w:r>
        <w:rPr>
          <w:b w:val="0"/>
          <w:i w:val="0"/>
        </w:rPr>
        <w:t>Đối với phiếu công trái của người chuyển đến nơi cư trú mới, khi thanh toán phải có chuyển nhượng của chính quyền địa phương nơi đang cư trú và mang theo hộ khẩu hoặc chứng minh thư để làm thủ tục thanh toán công trái vãng lai .</w:t>
      </w:r>
    </w:p>
    <w:p>
      <w:r>
        <w:rPr>
          <w:b w:val="0"/>
          <w:i w:val="0"/>
        </w:rPr>
        <w:t>5/ Trường hợp mất phiếu công trái được xét thanh toán là người sở hữu phiếu công trái khi mất đã làm đơn báo cho quận, huyện nơi cư trú để theo dõi và đối chiếu với hồ sơ gốc, trong đơn đã ghi rõ: họ, tên, địa chỉ, số giấy chứng minh thư (nếu có) của người sở hữu phiếu công trái, số tiền hoặc số thóc, số ngoại tệ, số vàng ghi trên phiếu, ngày và nơi phát hành công trái... (điều 6 Nghị định số 145/HĐBT ngày 6/12/1983)</w:t>
      </w:r>
    </w:p>
    <w:p>
      <w:r>
        <w:rPr>
          <w:b w:val="0"/>
          <w:i w:val="0"/>
        </w:rPr>
        <w:t>Các trường hợp bị mất phiếu công trái hoặc biên lai công trái, đơn vị quản lý và thanh toán phiếu công trái cần có thông báo chi tiết về các loại, các hạng phiếu, các ký mã hiệu và số seri của phiếu công trái bị mất cho các đơn vị nội bộ biết để theo dõi và ngăn chặn các mặt tiêu cực khác có thể xảy ra.</w:t>
      </w:r>
    </w:p>
    <w:p>
      <w:r>
        <w:rPr>
          <w:b w:val="0"/>
          <w:i w:val="0"/>
        </w:rPr>
        <w:t>6/ Các trường hợp đã thu tiền, thóc, vàng, ngoại tệ nhưng chưa trả phiếu công trái cho người mua, trong quá trình thanh toán phiếu công trái mới được phát hành và các trường hợp ngoại lệ khác sẽ giải quyết theo hướng dẫn tại điểm 1 của Thông tư này và các điểm 2, 3, 4, 5, 6 mục IV của "Phụ lục" đính kèm.</w:t>
      </w:r>
    </w:p>
    <w:p>
      <w:r>
        <w:rPr>
          <w:b w:val="0"/>
          <w:i w:val="0"/>
        </w:rPr>
        <w:t xml:space="preserve">7/ Phương thức thanh toán tiền công trái theo "Phụ lục" hướng dẫn chi tiết đính kèm Thông tư này.   </w:t>
      </w:r>
    </w:p>
    <w:p>
      <w:pPr>
        <w:jc w:val="center"/>
      </w:pPr>
      <w:r>
        <w:rPr>
          <w:b/>
          <w:i w:val="0"/>
        </w:rPr>
        <w:t xml:space="preserve">PHẦN II - TRÁCH NHIỆM CỦA CÁC VỤ, CỤC THUỘC BỘ TÀI CHÍNH CÓ LIÊN  QUAN  ĐẾN VIỆC THANH TOÁN PHIẾU CÔNG TRÁI </w:t>
      </w:r>
    </w:p>
    <w:p>
      <w:r>
        <w:rPr>
          <w:b w:val="0"/>
          <w:i w:val="0"/>
        </w:rPr>
        <w:t>a) Vụ Ngân sách Nhà nước:</w:t>
      </w:r>
    </w:p>
    <w:p>
      <w:r>
        <w:rPr>
          <w:b w:val="0"/>
          <w:i w:val="0"/>
        </w:rPr>
        <w:t>1 - Bố trí kế hoạch vốn Ngân sách Nhà nước để có kinh phí thanh toán phiếu công trái và các chi phí cần thiết cho công tác này.</w:t>
      </w:r>
    </w:p>
    <w:p>
      <w:r>
        <w:rPr>
          <w:b w:val="0"/>
          <w:i w:val="0"/>
        </w:rPr>
        <w:t>2 - Cùng với Cục Kho bạc Nhà nước và các đơn vị có liên quan của Ngân hàng Nhà nước, Ngân hàng chuyên doanh kiểm tra số tiền thu công trái đã nộp vào Ngân sách Nhà nước và chi Ngân sách Nhà nước để thanh toán công trái cho dân.</w:t>
      </w:r>
    </w:p>
    <w:p>
      <w:r>
        <w:rPr>
          <w:b w:val="0"/>
          <w:i w:val="0"/>
        </w:rPr>
        <w:t>b) Cục Kho bạc Nhà nước:</w:t>
      </w:r>
    </w:p>
    <w:p>
      <w:r>
        <w:rPr>
          <w:b w:val="0"/>
          <w:i w:val="0"/>
        </w:rPr>
        <w:t>1 - Cùng với Ngân hàng Nhà nước tổ chức việc triển khai kế hoạch bàn giao nghiệp vụ phát hành công trái từ Ngân hàng Nhà nước sang Cục Kho bạc Nhà nước (Bộ Tài chính).</w:t>
      </w:r>
    </w:p>
    <w:p>
      <w:r>
        <w:rPr>
          <w:b w:val="0"/>
          <w:i w:val="0"/>
        </w:rPr>
        <w:t>2 - Phối hợp với Ngân hàng Nhà nước tổ chức kiểm tra báo cáo quyết toán các đợt công trái đã phát hành. Lập kế hoạch thanh toán tiền công trái, phối hợp với Ngân hàng Nhà nước chuyển kịp thời vốn (tiền mặt) cho các Chi cục Kho bạc Nhà nước tỉnh để có kế hoạch phân phối vốn xuống các Chi nhánh kho bạc Nhà nước huyện, và chỉ đạo, hướng dẫn việc thanh toán cho người sở hữu phiếu công trái.</w:t>
      </w:r>
    </w:p>
    <w:p>
      <w:r>
        <w:rPr>
          <w:b w:val="0"/>
          <w:i w:val="0"/>
        </w:rPr>
        <w:t>3 - Phối hợp với các đơn vị có liên quan của Bộ Tài chính hướng dẫn các Chi cục KBNN tỉnh kiểm tra và tổng hợp báo cáo công trái bằng tiền, bằng thóc (theo các loại và các hạng phiếu) đã phát hành và thu nộp Ngân sách, thông báo cho Sở Tài chính biết để tiến hành kiểm tra đối chiếu số thu về tiền, về thóc với số thực nộp Ngân sách và làm cơ sở để lập dự toán chi NSNN về khoản thanh toán tiền công trái được đầy đủ, chính xác, kịp thời .</w:t>
      </w:r>
    </w:p>
    <w:p>
      <w:r>
        <w:rPr>
          <w:b w:val="0"/>
          <w:i w:val="0"/>
        </w:rPr>
        <w:t>4 - Tập huấn cho cán bộ chủ chốt trực tiếp làm nhiệm vụ thanh toán phiếu công trái của các Chi cục KBNN tỉnh về quy trình nghiệp vụ thanh toán tiền công trái, cách tính toán chỉ số giá cả các mặt hàng đảm bảo giá trị tiền mua công trái, cách tính lãi đối với tiền và thóc mua công trái .</w:t>
      </w:r>
    </w:p>
    <w:p>
      <w:r>
        <w:rPr>
          <w:b w:val="0"/>
          <w:i w:val="0"/>
        </w:rPr>
        <w:t>5 - Phối hợp với các ngành có liên quan  chuẩn bị kịp thời các tài liệu để thông báo cho ủy ban Trung ương vận động mua công trái, UBND, Sở tài chính, Chi cục KBNN tỉnh về chỉ số giá cả các mặt hàng bảo đảm giá trị tiền mua công trái và giá thóc đã được Nhà nước công bố vào thời điểm thanh toán .</w:t>
      </w:r>
    </w:p>
    <w:p>
      <w:r>
        <w:rPr>
          <w:b w:val="0"/>
          <w:i w:val="0"/>
        </w:rPr>
        <w:t>6 - Phối hợp với Ngân hàng Nhà nước Việt nam, Bộ nông nghiệp và công nghiệp thực phẩm, UBND tỉnh, thành phố và UBTƯ vận động mua công trái tổ chức kịp thời, đôn đốc thực hiện tốt việc chi trả cho người sở hữu phiếu công trái theo đúng chính sách, chế độ và giải quyết kịp thời các vướng mắc phát sinh.</w:t>
      </w:r>
    </w:p>
    <w:p>
      <w:r>
        <w:rPr>
          <w:b w:val="0"/>
          <w:i w:val="0"/>
        </w:rPr>
        <w:t>7 - Tổ chức rút kinh nghiệm và lập báo cáo kết quả các đợt thanh toán cho dân.</w:t>
      </w:r>
    </w:p>
    <w:p>
      <w:r>
        <w:rPr>
          <w:b w:val="0"/>
          <w:i w:val="0"/>
        </w:rPr>
        <w:t>c) Đối với chi cục KBNN tỉnh</w:t>
      </w:r>
    </w:p>
    <w:p>
      <w:r>
        <w:rPr>
          <w:b w:val="0"/>
          <w:i w:val="0"/>
        </w:rPr>
        <w:t>1 - Chi cục KBNN tỉnh có trách nhiệm cùng với Sở Tài chính tỉnh tham mưu giúp UBND tỉnh lập kế hoạch, biện pháp chỉ đạo thực hiện việc thanh toán tiền công trái trong toàn tỉnh.</w:t>
      </w:r>
    </w:p>
    <w:p>
      <w:r>
        <w:rPr>
          <w:b w:val="0"/>
          <w:i w:val="0"/>
        </w:rPr>
        <w:t>2 - Hướng dẫn các chi nhánh KBNN quận, huyện tổng hợp báo cáo việc tiếp nhận bàn giao của ngành Ngân hàng về công trái thu và ghi bằng tiền, bằng thóc, bằng vàng, ngoại tệ (theo từng loại và từng hạng phiếu) đã phát hành và thu nộp Ngân sách gửi cho Chi cục KBNN và Sở Tài chính tỉnh để có cơ sở tổng hợp, kiểm tra, đối chiếu trong toàn tỉnh và lập dự toán chi Ngân sách về khoản thanh toán tiền công trái .</w:t>
      </w:r>
    </w:p>
    <w:p>
      <w:r>
        <w:rPr>
          <w:b w:val="0"/>
          <w:i w:val="0"/>
        </w:rPr>
        <w:t>3 - Tập huấn cho công bố chủ chốt trực tiếp làm nhiệm vụ thanh toán tiền công trái của các Chi nhánh KBNN quận, huyện về quy trình nghiệp vụ thanh toán tiền công trái, cách tính toán chỉ số giá cả các mặt hàng bảo đảm giá trị tiền mua công trái, cách tính lãi đối với công trái thu và ghi bằng tiền, bằng thóc .</w:t>
      </w:r>
    </w:p>
    <w:p>
      <w:r>
        <w:rPr>
          <w:b w:val="0"/>
          <w:i w:val="0"/>
        </w:rPr>
        <w:t>4 - Chi cục KBNN cùng với Sở Tài chính phối hợp chặt chẽ với các ngành Ngân hàng và lương thực tổ chức việc thanh toán tiền công trái trên từng địa bàn, đảm bảo yêu cầu nhanh chóng, thuận tiện đến tận tay người sở hữu phiếu công trái (trong phạm vi vốn của Ngân sách chuyển qua) không ảnh hưởng đến sản xuất và sinh hoạt, bảo đảm trật tự và an toàn tài sản XHCN và tài sản của nhân dân .</w:t>
      </w:r>
    </w:p>
    <w:p>
      <w:r>
        <w:rPr>
          <w:b w:val="0"/>
          <w:i w:val="0"/>
        </w:rPr>
        <w:t>Sau khi kết thúc đợt thanh toán tiền công trái, Chi cục KBNN tỉnh cùng với Sở Tài chính phối hợp với các ngành có liên quan tổ chức hội nghị dưới sự chủ trì của UBND tỉnh để sơ kết rút kinh nghiệm và làm báo cáo quyết toán số tiền đã thanh toán khớp đúng với các loại và các hạng phiếu công trái đã thu gửi về Bộ Tài chính (Cục KBNN) đồng gửi cho Sở Tài chính tỉnh để kiểm tra, đối chiếu.</w:t>
      </w:r>
    </w:p>
    <w:p>
      <w:r>
        <w:rPr>
          <w:b w:val="0"/>
          <w:i w:val="0"/>
        </w:rPr>
        <w:t>Các chi nhánh KBNN thực hiện việc chi trả phiếu công trái theo quy định và hướng dẫn của cấp trên.</w:t>
      </w:r>
    </w:p>
    <w:p>
      <w:pPr>
        <w:jc w:val="center"/>
      </w:pPr>
      <w:r>
        <w:rPr>
          <w:b/>
          <w:i w:val="0"/>
        </w:rPr>
        <w:t xml:space="preserve">PHẦN III - KINH PHÍ PHỤC VỤ CHO VIỆC THANH TOÁN TIỀN CÔNG TRÁI </w:t>
      </w:r>
    </w:p>
    <w:p>
      <w:r>
        <w:rPr>
          <w:b w:val="0"/>
          <w:i w:val="0"/>
        </w:rPr>
        <w:t>Các khoản chi phục vụ cho việc thanh toán tiền công trái bao gồm: tiền thanh toán phiếu công trái (cả gốc và lãi, trượt giá), các khoản chi về bồi dưỡng theo chế độ quy định cho lực lượng trực tiếp thanh toán tiền công trái, chi về ấn chỉ, các tài liệu mẫu biểu, chi tập huấn nghiệp vụ và các khoản chi khác phục vụ cho việc thanh toán tiền công trái do Ngân sách Trung ương cấp, ngoài nguồn kinh phí hoạt động thường xuyên của hệ thống KBNN. Cục KBNN - Bộ Tài chính cấp kinh phí về địa phương có phiếu công trái đến hạn thanh toán.</w:t>
      </w:r>
    </w:p>
    <w:p>
      <w:r>
        <w:rPr>
          <w:b w:val="0"/>
          <w:i w:val="0"/>
        </w:rPr>
        <w:t>- Căn cứ vào kinh phí được cấp kế toán KBNN vào sổ chi tiết TK 93 - tiểu khoản 936 kinh phí Ngân sách Trung ương ủy quyền về chi trả công trái.</w:t>
      </w:r>
    </w:p>
    <w:p>
      <w:r>
        <w:rPr>
          <w:b w:val="0"/>
          <w:i w:val="0"/>
        </w:rPr>
        <w:t>- Khi chi: Ghi Nợ TK 936 (kinh phí NSTƯ ủy quyền)</w:t>
      </w:r>
    </w:p>
    <w:p>
      <w:r>
        <w:rPr>
          <w:b w:val="0"/>
          <w:i w:val="0"/>
        </w:rPr>
        <w:t xml:space="preserve">               Ghi Có TK đối ứng (tiền mặt.......)</w:t>
      </w:r>
    </w:p>
    <w:p>
      <w:r>
        <w:rPr>
          <w:b w:val="0"/>
          <w:i w:val="0"/>
        </w:rPr>
        <w:t>- Hạch toán kế toán về kinh phí chi trả công trái và phục vụ chi trả công trái có hướng dẫn riêng.</w:t>
      </w:r>
    </w:p>
    <w:p>
      <w:r>
        <w:rPr>
          <w:b w:val="0"/>
          <w:i w:val="0"/>
        </w:rPr>
        <w:t>Việc quyết toán chi trả tiền công trái cho người sở hữu phiếu công trái và kinh phí phục vụ cho việc chi trả công trái hệ thống KBNN phải báo cáo đầy đủ chính xác theo mẫu biểu báo cáo quyết toán đính kèm Thông tư này.</w:t>
      </w:r>
    </w:p>
    <w:p>
      <w:r>
        <w:rPr>
          <w:b w:val="0"/>
          <w:i w:val="0"/>
        </w:rPr>
        <w:t>Tổ chức thi hành Quyết định của Chủ tịch HĐBT về việc thanh toán tiền công trái loại có kỳ hạn 5 năm phát hành tại một số tỉnh và thành phố sau khi có Pháp lệnh bổ sung, sửa đổi ngày 30/5/1985 về việc phát hành công trái XDTQ là một việc làm hết sức quan trọng, phải làm tốt để củng cố thêm lòng tin của nhân dân vào chính sách vay dân của Nhà nước vào các năm tới, để rút kinh nghiệm cho các đợt thanh toán tiền công trái tiếp theo khi đến hạn thanh toán trong toàn quốc.</w:t>
      </w:r>
    </w:p>
    <w:p>
      <w:r>
        <w:rPr>
          <w:b w:val="0"/>
          <w:i w:val="0"/>
        </w:rPr>
        <w:t>Trong quá trình thực hiện nếu có khó khăn vướng mắc, đề nghị các đơn vị và địa phương kịp thời báo cáo để Bộ Tài chính (cục KBNN) nghiên cứu phối hợp giải quyết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w:t>
            </w:r>
            <w:r>
              <w:rPr>
                <w:b/>
                <w:i w:val="0"/>
              </w:rPr>
              <w:t xml:space="preserve"> TRƯ</w:t>
            </w:r>
            <w:r>
              <w:rPr>
                <w:b/>
                <w:i w:val="0"/>
              </w:rPr>
              <w:t>ỞNG BỘ TÀI CHÍNH</w:t>
            </w:r>
            <w:r>
              <w:rPr>
                <w:b w:val="0"/>
                <w:i w:val="0"/>
              </w:rPr>
              <w:br/>
            </w:r>
            <w:r>
              <w:rPr>
                <w:b/>
                <w:i w:val="0"/>
              </w:rPr>
              <w:t>Thứ</w:t>
            </w:r>
            <w:r>
              <w:rPr>
                <w:b/>
                <w:i w:val="0"/>
              </w:rPr>
              <w:t xml:space="preserve"> trư</w:t>
            </w:r>
            <w:r>
              <w:rPr>
                <w:b/>
                <w:i w:val="0"/>
              </w:rPr>
              <w:t>ởng</w:t>
            </w:r>
            <w:r>
              <w:rPr>
                <w:b w:val="0"/>
                <w:i w:val="0"/>
              </w:rPr>
              <w:br/>
            </w:r>
            <w:r>
              <w:rPr>
                <w:b/>
                <w:i w:val="0"/>
              </w:rPr>
              <w:t>(</w:t>
            </w:r>
            <w:r>
              <w:rPr>
                <w:b/>
                <w:i w:val="0"/>
              </w:rPr>
              <w:t>Đ</w:t>
            </w:r>
            <w:r>
              <w:rPr>
                <w:b/>
                <w:i w:val="0"/>
              </w:rPr>
              <w:t>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