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422/2005/QĐ-UBND Về việc quy định đường một chiều trong thành phố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r>
              <w:rPr>
                <w:b w:val="0"/>
                <w:i w:val="0"/>
              </w:rPr>
              <w:br/>
            </w:r>
            <w:r>
              <w:rPr>
                <w:b w:val="0"/>
                <w:i w:val="0"/>
              </w:rPr>
              <w:t>___________</w:t>
            </w:r>
            <w:r>
              <w:rPr>
                <w:b w:val="0"/>
                <w:i w:val="0"/>
              </w:rPr>
              <w:br/>
            </w:r>
            <w:r>
              <w:rPr>
                <w:b w:val="0"/>
                <w:i w:val="0"/>
              </w:rPr>
              <w:t xml:space="preserve">    Số: 422/2005/QĐ-UB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w:t>
            </w:r>
            <w:r>
              <w:rPr>
                <w:b w:val="0"/>
                <w:i w:val="0"/>
              </w:rPr>
              <w:br/>
            </w:r>
            <w:r>
              <w:rPr>
                <w:b w:val="0"/>
                <w:i/>
              </w:rPr>
              <w:t>Huế, ngày 24 tháng 01 năm 2005</w:t>
            </w:r>
          </w:p>
        </w:tc>
      </w:tr>
    </w:tbl>
    <w:p>
      <w:pPr>
        <w:jc w:val="center"/>
      </w:pPr>
      <w:r>
        <w:rPr>
          <w:b w:val="0"/>
          <w:i w:val="0"/>
        </w:rPr>
        <w:br/>
      </w:r>
      <w:r>
        <w:rPr>
          <w:b/>
          <w:i w:val="0"/>
        </w:rPr>
        <w:t>QUYẾT ĐỊNH CỦA UỶ BAN NHÂN DÂN TỈNH</w:t>
      </w:r>
      <w:r>
        <w:rPr>
          <w:b w:val="0"/>
          <w:i w:val="0"/>
        </w:rPr>
        <w:br/>
      </w:r>
    </w:p>
    <w:p>
      <w:pPr>
        <w:jc w:val="center"/>
      </w:pPr>
      <w:r>
        <w:rPr>
          <w:b/>
          <w:i w:val="0"/>
        </w:rPr>
        <w:t>Về việc quy định đường một chiều trong thành phố Huế</w:t>
      </w:r>
    </w:p>
    <w:p>
      <w:pPr>
        <w:jc w:val="center"/>
      </w:pPr>
      <w:r>
        <w:rPr>
          <w:b/>
          <w:i w:val="0"/>
        </w:rPr>
        <w:t>________________</w:t>
      </w:r>
    </w:p>
    <w:p>
      <w:pPr>
        <w:jc w:val="center"/>
      </w:pPr>
      <w:r>
        <w:rPr>
          <w:b/>
          <w:i w:val="0"/>
        </w:rPr>
        <w:t>UỶ BAN NHÂN DÂN TỈNH THỪA THIÊN HUẾ.</w:t>
      </w:r>
    </w:p>
    <w:p>
      <w:pPr>
        <w:jc w:val="both"/>
      </w:pPr>
      <w:r>
        <w:rPr>
          <w:b w:val="0"/>
          <w:i w:val="0"/>
        </w:rPr>
        <w:t>-  Căn cứ Luật Tổ chức HĐND và UBND ngày 21/11/2003;</w:t>
      </w:r>
    </w:p>
    <w:p>
      <w:pPr>
        <w:jc w:val="both"/>
      </w:pPr>
      <w:r>
        <w:rPr>
          <w:b w:val="0"/>
          <w:i w:val="0"/>
        </w:rPr>
        <w:t>-  Căn cứ Luật Giao thông đường bộ ngày 29/6/2003;</w:t>
      </w:r>
    </w:p>
    <w:p>
      <w:pPr>
        <w:jc w:val="both"/>
      </w:pPr>
      <w:r>
        <w:rPr>
          <w:b w:val="0"/>
          <w:i w:val="0"/>
        </w:rPr>
        <w:t>-  Căn cứ Nghị định số 14/2003/NĐ-CP ngày 19/2/2003 của Chính phủ quy định chi tiết thi hành một số điều của Luật Giao thông đường bộ;</w:t>
      </w:r>
    </w:p>
    <w:p>
      <w:pPr>
        <w:jc w:val="both"/>
      </w:pPr>
      <w:r>
        <w:rPr>
          <w:b w:val="0"/>
          <w:i w:val="0"/>
        </w:rPr>
        <w:t>-  Để hạn chế ùn tắc giao thông ở các vị trí đường ngang đường sắt trong thành phố Huế, theo đề nghị của Giám đốc Sở Giao thông vận tải tại Tờ trình số 66/TT-GTVT ngày 21/01/2005,</w:t>
      </w:r>
    </w:p>
    <w:p>
      <w:pPr>
        <w:jc w:val="center"/>
      </w:pPr>
      <w:r>
        <w:rPr>
          <w:b/>
          <w:i w:val="0"/>
        </w:rPr>
        <w:t>QUYẾT ĐỊNH:</w:t>
      </w:r>
    </w:p>
    <w:p>
      <w:r>
        <w:rPr>
          <w:b/>
          <w:i w:val="0"/>
        </w:rPr>
        <w:t xml:space="preserve">Điều 1. </w:t>
      </w:r>
      <w:r>
        <w:rPr>
          <w:b w:val="0"/>
          <w:i w:val="0"/>
        </w:rPr>
        <w:t>Nay quy định hướng đi một chiều đối với các phương tiện tham gia giao thông trên các tuyến đường sau đây kể từ ngày 01 tháng 02 năm 2005 gồm:</w:t>
      </w:r>
    </w:p>
    <w:p>
      <w:r>
        <w:rPr>
          <w:b/>
          <w:i w:val="0"/>
        </w:rPr>
        <w:t>1. Đường Điện Biên Phủ:</w:t>
      </w:r>
    </w:p>
    <w:p>
      <w:r>
        <w:rPr>
          <w:b w:val="0"/>
          <w:i w:val="0"/>
        </w:rPr>
        <w:t>1. 1. Đoạn từ đường Lê Lợi đến QL 49: Quy định hướng đi một chiều đối với ô tô.</w:t>
      </w:r>
    </w:p>
    <w:p>
      <w:r>
        <w:rPr>
          <w:b w:val="0"/>
          <w:i w:val="0"/>
        </w:rPr>
        <w:t>1. 2. Đoạn từ đường Phan Chu Trinh đến đường Sư Liễu Quán: Quy định hướng đi một chiều đối với tất cả các phương tiện (trừ xe đạp, xe xích lô, xe ba gác).</w:t>
      </w:r>
    </w:p>
    <w:p>
      <w:r>
        <w:rPr>
          <w:b/>
          <w:i w:val="0"/>
        </w:rPr>
        <w:t>2. Đường Phan Bội Châu:</w:t>
      </w:r>
    </w:p>
    <w:p>
      <w:r>
        <w:rPr>
          <w:b w:val="0"/>
          <w:i w:val="0"/>
        </w:rPr>
        <w:t>2. 1. Đoạn từ QL 49 đến đường Phan Chu Trinh: Qui định hướng đi một chiều đối với ô tô.</w:t>
      </w:r>
    </w:p>
    <w:p>
      <w:r>
        <w:rPr>
          <w:b w:val="0"/>
          <w:i w:val="0"/>
        </w:rPr>
        <w:t>2. 2. Đoạn từ đường Sư Liễu Quán đến đường Phan Chu Trinh: Quy định hướng đi một chiều đối với tất cả các phương tiện (trừ xe đạp xe xích lô, xe ba gác).</w:t>
      </w:r>
    </w:p>
    <w:p>
      <w:r>
        <w:rPr>
          <w:b/>
          <w:i w:val="0"/>
        </w:rPr>
        <w:t xml:space="preserve">Điều 2. </w:t>
      </w:r>
      <w:r>
        <w:rPr>
          <w:b w:val="0"/>
          <w:i w:val="0"/>
        </w:rPr>
        <w:t>Giám đốc Sở Giao thông vận tải có trách nhiệm phối hợp với Công an Tỉnh triển khai cắm lại biển báo theo qui định và thông báo hướng dẫn rộng rãi trên các phương tiện thông tin đại chúng để nhân dân biết, thực hiện.</w:t>
      </w:r>
    </w:p>
    <w:p>
      <w:r>
        <w:rPr>
          <w:b/>
          <w:i w:val="0"/>
        </w:rPr>
        <w:t xml:space="preserve">Điều 3. </w:t>
      </w:r>
      <w:r>
        <w:rPr>
          <w:b w:val="0"/>
          <w:i w:val="0"/>
        </w:rPr>
        <w:t>Quyết định này có hiệu lực kể từ ngày ký. Các qui định trước đây của UBND Tỉnh trái với qui định này đều bãi bỏ.</w:t>
      </w:r>
    </w:p>
    <w:p>
      <w:r>
        <w:rPr>
          <w:b/>
          <w:i w:val="0"/>
        </w:rPr>
        <w:t xml:space="preserve">Điều 4. </w:t>
      </w:r>
      <w:r>
        <w:rPr>
          <w:b w:val="0"/>
          <w:i w:val="0"/>
        </w:rPr>
        <w:t>Chánh Văn phòng UBND Tỉnh, Giám đốc Sở Giao thông vận tải, Giám đốc Công an Tỉnh, Chủ tịch UBND thành phố Huế, Công ty Quản lý và Sửa chữa đường bộ Thừa Thiên Huế, Công ty Quản lý và Sửa chữa đường bộ II và Thủ trưởng các cơ quan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TM.UBND TỈNH THỪA THIÊN HUẾ</w:t>
            </w:r>
            <w:r>
              <w:rPr>
                <w:b w:val="0"/>
                <w:i w:val="0"/>
              </w:rPr>
              <w:br/>
            </w:r>
            <w:r>
              <w:rPr>
                <w:b/>
                <w:i w:val="0"/>
              </w:rPr>
              <w:t>KT. CHỦ TỊCH</w:t>
            </w:r>
            <w:r>
              <w:rPr>
                <w:b w:val="0"/>
                <w:i w:val="0"/>
              </w:rPr>
              <w:br/>
            </w:r>
            <w:r>
              <w:rPr>
                <w:b/>
                <w:i w:val="0"/>
              </w:rPr>
              <w:t>PHÓ CHỦ TỊCH</w:t>
            </w:r>
            <w:r>
              <w:rPr>
                <w:b w:val="0"/>
                <w:i w:val="0"/>
              </w:rPr>
              <w:br/>
            </w:r>
            <w:r>
              <w:rPr>
                <w:b w:val="0"/>
                <w:i w:val="0"/>
              </w:rPr>
              <w:br/>
            </w:r>
            <w:r>
              <w:rPr>
                <w:b w:val="0"/>
                <w:i w:val="0"/>
              </w:rPr>
              <w:br/>
            </w:r>
            <w:r>
              <w:rPr>
                <w:b w:val="0"/>
                <w:i w:val="0"/>
              </w:rPr>
              <w:br/>
            </w:r>
            <w:r>
              <w:rPr>
                <w:b w:val="0"/>
                <w:i w:val="0"/>
              </w:rPr>
              <w:br/>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