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42/1997/CT-UB Về việc tăng cường các biện pháp quản lý, duy trì, tôn tạo Phát triển các cảnh quan thiên nhiên và bo vệ môi sinh, Môi trường trên địa bàn thành phố Đà Lạt.</w:t>
      </w:r>
    </w:p>
    <w:p>
      <w:r>
        <w:rPr>
          <w:b w:val="0"/>
          <w:i w:val="0"/>
        </w:rPr>
        <w:br/>
      </w:r>
      <w:r>
        <w:rPr>
          <w:b w:val="0"/>
          <w:i w:val="0"/>
        </w:rPr>
        <w:br/>
      </w:r>
      <w:r>
        <w:rPr>
          <w:b w:val="0"/>
          <w:i w:val="0"/>
        </w:rPr>
        <w:br/>
      </w:r>
      <w:r>
        <w:rPr>
          <w:b/>
          <w:i w:val="0"/>
        </w:rPr>
        <w:br/>
      </w:r>
      <w:r>
        <w:rPr>
          <w:b/>
          <w:i w:val="0"/>
        </w:rPr>
        <w:br/>
      </w:r>
      <w:r>
        <w:rPr>
          <w:b/>
          <w:i w:val="0"/>
        </w:rPr>
        <w:t xml:space="preserve">UBND </w:t>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42/1997/CT-UB</w:t>
      </w:r>
      <w:r>
        <w:rPr>
          <w:b w:val="0"/>
          <w:i w:val="0"/>
        </w:rPr>
        <w:br/>
      </w:r>
      <w:r>
        <w:rPr>
          <w:b w:val="0"/>
          <w:i w:val="0"/>
        </w:rPr>
        <w:br/>
      </w:r>
      <w:r>
        <w:rPr>
          <w:b w:val="0"/>
          <w:i/>
        </w:rPr>
        <w:br/>
      </w:r>
      <w:r>
        <w:rPr>
          <w:b w:val="0"/>
          <w:i/>
        </w:rPr>
        <w:t>Lâm Đồng, ngày 2 tháng 10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UBND </w:t>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42/1997/CT-UB</w:t>
      </w:r>
      <w:r>
        <w:rPr>
          <w:b w:val="0"/>
          <w:i w:val="0"/>
        </w:rPr>
        <w:br/>
      </w:r>
      <w:r>
        <w:rPr>
          <w:b w:val="0"/>
          <w:i w:val="0"/>
        </w:rPr>
        <w:br/>
      </w:r>
      <w:r>
        <w:rPr>
          <w:b w:val="0"/>
          <w:i/>
        </w:rPr>
        <w:br/>
      </w:r>
      <w:r>
        <w:rPr>
          <w:b w:val="0"/>
          <w:i/>
        </w:rPr>
        <w:t>Lâm Đồng, ngày 2 tháng 10 năm 1997</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t>tỉnh LÂM ĐỒNG</w:t>
      </w:r>
      <w:r>
        <w:rPr>
          <w:b w:val="0"/>
          <w:i w:val="0"/>
        </w:rPr>
        <w:br/>
      </w:r>
      <w:r>
        <w:rPr>
          <w:b w:val="0"/>
          <w:i w:val="0"/>
        </w:rPr>
        <w:br/>
      </w:r>
      <w:r>
        <w:rPr>
          <w:b w:val="0"/>
          <w:i w:val="0"/>
        </w:rPr>
        <w:br/>
      </w:r>
    </w:p>
    <w:p>
      <w:r>
        <w:rPr>
          <w:b w:val="0"/>
          <w:i w:val="0"/>
        </w:rPr>
        <w:br/>
      </w:r>
      <w:r>
        <w:rPr>
          <w:b w:val="0"/>
          <w:i w:val="0"/>
        </w:rPr>
        <w:t xml:space="preserve">UBND </w:t>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42/1997/CT-UB</w:t>
      </w:r>
      <w:r>
        <w:rPr>
          <w:b w:val="0"/>
          <w:i w:val="0"/>
        </w:rPr>
        <w:br/>
      </w:r>
      <w:r>
        <w:rPr>
          <w:b w:val="0"/>
          <w:i w:val="0"/>
        </w:rPr>
        <w:br/>
      </w:r>
      <w:r>
        <w:rPr>
          <w:b w:val="0"/>
          <w:i/>
        </w:rPr>
        <w:br/>
      </w:r>
      <w:r>
        <w:rPr>
          <w:b w:val="0"/>
          <w:i/>
        </w:rPr>
        <w:t>Lâm Đồng, ngày 2 tháng 10 năm 1997</w:t>
      </w:r>
      <w:r>
        <w:rPr>
          <w:b w:val="0"/>
          <w:i/>
        </w:rPr>
        <w:br/>
      </w:r>
      <w:r>
        <w:rPr>
          <w:b w:val="0"/>
          <w:i w:val="0"/>
        </w:rPr>
        <w:br/>
      </w:r>
    </w:p>
    <w:p>
      <w:pPr>
        <w:jc w:val="center"/>
      </w:pPr>
      <w:r>
        <w:rPr>
          <w:b w:val="0"/>
          <w:i w:val="0"/>
        </w:rPr>
        <w:br/>
      </w:r>
      <w:r>
        <w:rPr>
          <w:b w:val="0"/>
          <w:i w:val="0"/>
        </w:rPr>
        <w:t>Số: 42/1997/CT-UB</w:t>
      </w:r>
      <w:r>
        <w:rPr>
          <w:b w:val="0"/>
          <w:i w:val="0"/>
        </w:rPr>
        <w:br/>
      </w:r>
    </w:p>
    <w:p>
      <w:pPr>
        <w:jc w:val="center"/>
      </w:pPr>
      <w:r>
        <w:rPr>
          <w:b w:val="0"/>
          <w:i w:val="0"/>
        </w:rPr>
        <w:br/>
      </w:r>
      <w:r>
        <w:rPr>
          <w:b w:val="0"/>
          <w:i w:val="0"/>
        </w:rPr>
        <w:t>Lâm Đồng, ngày 2 tháng 10 năm 1997</w:t>
      </w:r>
      <w:r>
        <w:rPr>
          <w:b w:val="0"/>
          <w:i w:val="0"/>
        </w:rPr>
        <w:br/>
      </w:r>
    </w:p>
    <w:p>
      <w:r>
        <w:rPr>
          <w:b/>
          <w:i w:val="0"/>
        </w:rPr>
        <w:t>CHỈ THỊ CỦA UỶ BAN NHÂN DÂN TỈNH LÂM ĐỒNG</w:t>
      </w:r>
    </w:p>
    <w:p>
      <w:r>
        <w:rPr>
          <w:b/>
          <w:i/>
        </w:rPr>
        <w:t>V/v tăng cường các biện pháp quản lý, duy trì, tôn tạo</w:t>
      </w:r>
    </w:p>
    <w:p>
      <w:r>
        <w:rPr>
          <w:b/>
          <w:i/>
        </w:rPr>
        <w:t>Phát triển các cảnh quan thiên nhiên và bảo vệ môi sinh,</w:t>
      </w:r>
    </w:p>
    <w:p>
      <w:r>
        <w:rPr>
          <w:b/>
          <w:i/>
        </w:rPr>
        <w:t>Môi trường trên địa bàn thành phố Đà Lạt.</w:t>
      </w:r>
      <w:r>
        <w:br/>
      </w:r>
      <w:r>
        <w:rPr>
          <w:b/>
          <w:i/>
        </w:rPr>
        <w:br/>
        <w:t xml:space="preserve">       _______________</w:t>
      </w:r>
      <w:r>
        <w:br/>
      </w:r>
      <w:r>
        <w:rPr>
          <w:b w:val="0"/>
          <w:i w:val="0"/>
        </w:rPr>
        <w:t xml:space="preserve"> </w:t>
      </w:r>
      <w:r>
        <w:rPr>
          <w:b/>
          <w:i w:val="0"/>
        </w:rPr>
        <w:t xml:space="preserve"> </w:t>
      </w:r>
    </w:p>
    <w:p>
      <w:r>
        <w:rPr>
          <w:b w:val="0"/>
          <w:i w:val="0"/>
        </w:rPr>
        <w:t>Thực hiện ý kiến chỉ đạo của đồng chí Tổng bí thư Đỗ Mười về "Làm xanh, sạch, đẹp thành phố Đà lạt", ý kiến chỉ đạo của thủ tướng Chính phủ tại quyết định số 620/Ttg ngày 27/10/1994 về "cần chủ động thực hiện các biện pháp duy trì, tôn tạo và phát triển các cảnh quan thiên nhiên, các cơ sở du lịch, môi sinh, môi trường để đảm bảo cho Đà Lạt xứng đáng với tính chất trung tâm du lịch, nghỉ dưỡng có tầm vóc Quốc gia và Quốc tế" và Nghị quyết số 07/NQ-TU ngày 3/4/1997 của Ban Thường vụ Tỉnh uỷ về một số nhiệm vụ và giải pháp chủ yếu từ nay đến năm 2000 nhằm quản lý, bảo vệ phát triển cảnh quan và bảo vệ môi trường sinh thái thành phố Đà Lạt ". UBND tỉnh yêu cầu UBND thành phố Đà Lạt và các sở, ban, ngành có liên quan tổ chức thực hiện những công tác cụ thể sau :</w:t>
      </w:r>
    </w:p>
    <w:p>
      <w:r>
        <w:rPr>
          <w:b w:val="0"/>
          <w:i w:val="0"/>
        </w:rPr>
        <w:t>1. UBND thành phố Đà Lạt, các cơ quan đơn vị, đoàn thể trên địa bàn thành phố tổ chức học tập, quán triệt và mở cuộc vận động và tuyên truyền rộng rãi trên các phương tiện thông tin đại chúng và bằng mọi hình thức sinh động, phong phú nhằm làm cho toàn thể cán bộ, nhân dân nhận thức rõ về trách nhiệm, nghĩa vụ của mỗi người để trên cơ sở đó tự giác thực hiện tốt các Chỉ thị, Nghị quyết, các qui định của Nhà nước có liên quan đến nhiệm vụ quản lý, bảo vệ cảnh quan môi trường như : Luật bảo vệ môi trường, Luật bảo vệ và phát triển rừng, Đồ án qui hoạch tổng thể và chi tiết xây dựng thành phố Đà Lạt, Nghị định số 48/CP, 26/CP, 04/CP của Chính phủ, Nghị quyết số 07/NQ-TU, Chỉ thị 01/CT-TU và 20/CT-TU của Ban thường vụ Tỉnh uỷ, Chỉ thị 22/CT-UB của UBND tỉnh... Đây là một vận động lớn cả trước mắt và lâu dài có liên quan đến sự phát triển kinh tế xã hội của thành phố và việc khôi phục phát huy những hình ảnh tốt đẹp, nhân cách của con người Đà Lạt, do đó cần phải phối hợp và tập trung sức làm chuyển biến thực sự về nhận thức và hành động nhằm tạo ra cho được những kết quả cụ thể trong quản lý, bảo vệ, phát triển cảnh quan và bảo vệ môi trường thành phố Đà Lạt đối với các cơ quan, đơn vị, địa phương, trong cán bộ công chức Nhà nước cũng như toàn thể nhân dân sinh sống trên địa bàn thành phố. Các trường học ở Đà Lạt cần đưa thêm vào chương trình môn giáo dục công dân về ý thức bảo vệ cảnh quan môi trường, xây dựng nếp sống văn minh đô thị cho các em học sinh.</w:t>
      </w:r>
    </w:p>
    <w:p>
      <w:r>
        <w:rPr>
          <w:b w:val="0"/>
          <w:i w:val="0"/>
        </w:rPr>
        <w:t>Các cơ quan thông tin đại chúng cần xây dựng chuyên mục tuyên truyền theo dõi đưa tin thường xuyên, phát huy động viên kịp thời những mặt tốt, những cơ quan, cá nhân có thành tích phê phán những nơi, những người không chấp hành nghiêm túc, làm ảnh hưởng đến vẻ đẹp và môi trường thành phố.</w:t>
      </w:r>
    </w:p>
    <w:p>
      <w:r>
        <w:rPr>
          <w:b w:val="0"/>
          <w:i w:val="0"/>
        </w:rPr>
        <w:t>2. Về công tác quy hoạch đô thị :</w:t>
      </w:r>
    </w:p>
    <w:p>
      <w:r>
        <w:rPr>
          <w:b w:val="0"/>
          <w:i w:val="0"/>
        </w:rPr>
        <w:t>UBND thành phố Đà Lạt cùng Sở Xây dựng tỉnh phối hợp với các ngành chức năng có liên quan căn cứ vào đồ án quy hoạch tổng thể xây dựng thành phố Đà Lạt đã được Thủ tướng Chính phủ phê duyệt để lập các đồ án quy hoạch chi tiết nhằm làm cơ sở để phân định, khoanh định và xác định công trình kiến trúc, các di tích văn hoá lịch sử, các khu bảo vệ thiên nhiên cần giữ lại và bảo vệ, xác định các vùng cấm hoặc hạn chế xây dựng như cần xác định bố cục kiến trúc. Quy hoạch, cấu trúc không gian quanh hồ Xuân hương, quanh khu Hoà Bình, các khu thắng cảnh, dọc các trục lộ chính trong thành phố, lập và thực hiện qui hoạch phát triển cây xanh trong phạm vi đô thị thành phố Đà Lạt... Cũng như ban hành các qui định quản lý kiến trúc, quản lý bảo vệ cảnh quan và môi trường sống đô thị, quản lý sử dụng và khai thác các công trình cơ sở hạ tầng, kỹ thuật đô thị để phổ biến, hướng dẫn và công khai cho nhân dân biết thực hiện, kể cả in thành tập để phát hành cho mọi đối tượng có nhu cầu.</w:t>
      </w:r>
    </w:p>
    <w:p>
      <w:r>
        <w:rPr>
          <w:b w:val="0"/>
          <w:i w:val="0"/>
        </w:rPr>
        <w:t>3. Thoát nước - Vệ sinh môi trường :</w:t>
      </w:r>
    </w:p>
    <w:p>
      <w:r>
        <w:rPr>
          <w:b/>
          <w:i/>
        </w:rPr>
        <w:t>A) Về thoát nước mưa :</w:t>
      </w:r>
    </w:p>
    <w:p>
      <w:r>
        <w:rPr>
          <w:b w:val="0"/>
          <w:i w:val="0"/>
        </w:rPr>
        <w:t>Tận dụng địa hình tự nhiên và các nhánh suối có sẵn để thoát nước cho các khu phố, các khu dân cư... bằng hình thức tự chảy, hạn chế tối đa thoát nước trực tiếp vào Hồ Xuân hương, cần duy trì và phát triển cho hoàn chỉnh, khép kín mạng lưới cống thoát nước của thành phố.</w:t>
      </w:r>
    </w:p>
    <w:p>
      <w:r>
        <w:rPr>
          <w:b/>
          <w:i/>
        </w:rPr>
        <w:t>B) Về thoát nước thải :</w:t>
      </w:r>
    </w:p>
    <w:p>
      <w:r>
        <w:rPr>
          <w:b w:val="0"/>
          <w:i w:val="0"/>
        </w:rPr>
        <w:t>- Khu trung tâm, nơi có mật độ xây dựng cao cần xử lý bằng bể tự hoại trước khi thoát vào cống chung của thành phố.</w:t>
      </w:r>
    </w:p>
    <w:p>
      <w:r>
        <w:rPr>
          <w:b w:val="0"/>
          <w:i w:val="0"/>
        </w:rPr>
        <w:t>- Khu xa trung tâm, nơi có mật độ xây dựng thấp (nhà ở, công trình riêng biệt) cần được xử lý cục bộ trong các bể tự hoại, giếng thấm</w:t>
      </w:r>
    </w:p>
    <w:p>
      <w:r>
        <w:rPr>
          <w:b/>
          <w:i/>
        </w:rPr>
        <w:t>C) Về vệ sinh, môi trường:</w:t>
      </w:r>
    </w:p>
    <w:p>
      <w:r>
        <w:rPr>
          <w:b w:val="0"/>
          <w:i w:val="0"/>
        </w:rPr>
        <w:t>-Tập trung chống ô nhiễm hai bên bờ suối Cam ly, suối Phan Đình Phùng-La Sơn Phu Tử bằng các biện pháp xử lý nước thải, xây bể tự hoại, nghiêm cấm các nhà ở dọc theo suối xả nước thải trực tiếp vào suối, cần sớm chuyển lò mổ ra vị trí mới, triển khai xây dựng hồ sinh học Cam ly theo dự án đã được UBND tỉnh phê duyệt. Nghiên cứu để mở các đường đi dọc hai bên suối.</w:t>
      </w:r>
    </w:p>
    <w:p>
      <w:r>
        <w:rPr>
          <w:b w:val="0"/>
          <w:i w:val="0"/>
        </w:rPr>
        <w:t>- Tại các tụ điểm sinh hoạt và công trình công cộng như chợ, cửa hàng, bến xe, ...Trong đô thị phải niêm yết nội quy giữ gìn vệ sinh, bố trí nhà vệ sinh công cộng, bãi giữ xe, sắp xếp sử dụng mặt bằng hợp lý.</w:t>
      </w:r>
    </w:p>
    <w:p>
      <w:r>
        <w:rPr>
          <w:b w:val="0"/>
          <w:i w:val="0"/>
        </w:rPr>
        <w:t>- Cần bố trí các thùng đổ rác ở các nơi hợp lý, nghiêm cấm việc đổ rác ở các ngã ba, ngã tư ... đường phố, tổ chức thu gom rác nơi công cộng và đưa về khu vực xử lý phù hợp với quy hoạch. Để xử lý rác, chất thải có hiệu quả hơn, cần thiết lập dự án đầu tư để trình UBND tỉnh xem xét quyết định làm cơ sở thực hiện.</w:t>
      </w:r>
    </w:p>
    <w:p>
      <w:r>
        <w:rPr>
          <w:b w:val="0"/>
          <w:i w:val="0"/>
        </w:rPr>
        <w:t>- Tổ chức sắp xếp quy hoạch lại hệ thống nghĩa địa và có phương án tổ chức quản lý thống nhất; đối với nghĩa địa phù hợp với quy hoạch cần có giải pháp trồng cây xanh xen cấy và cây xanh bao quanh để che chắn. Cần thiết lập dự án nhà hoả táng để trình UBND tỉnh xem xét quyết định đầu tư.</w:t>
      </w:r>
    </w:p>
    <w:p>
      <w:r>
        <w:rPr>
          <w:b w:val="0"/>
          <w:i w:val="0"/>
        </w:rPr>
        <w:t>- Vận động thực hiện nếp sống vệ sinh, văn minh xoá bỏ các thói quen xấu như vứt rác thải, chất thải bừa bãi ... ở đô thị; tuân theo các quy định cụ thể về vệ sinh môi trường đô thị.</w:t>
      </w:r>
    </w:p>
    <w:p>
      <w:r>
        <w:rPr>
          <w:b w:val="0"/>
          <w:i w:val="0"/>
        </w:rPr>
        <w:t>4. Về các yếu tố địa lý, cảnh quan, môi sinh :</w:t>
      </w:r>
    </w:p>
    <w:p>
      <w:r>
        <w:rPr>
          <w:b w:val="0"/>
          <w:i w:val="0"/>
        </w:rPr>
        <w:t>A) Cần ngăn chặn tối đa các hoạt động xây dựng san lấp phá huỷ cảnh quan tự nhiên của đồi và làm bồi lấp hệ thống suối, hồ (tự nhiên và nhân tạo). Phải đưa ra các yêu cầu về xẻ taluy và san lấp mặt bằng xây dựng, sản xuất cũng như các hoạt động kinh tế khác làm huỷ hoại các yếu tố này (định rõ các giải pháp xây dựng phù hợp với sự bảo vệ và tôn tạo cảnh quan thiên nhiên). Đối với các taluy đất ven đường cần chỉnh sửa và trồng cỏ để đảm bảo mỹ quan và chống xói lở.</w:t>
      </w:r>
    </w:p>
    <w:p>
      <w:r>
        <w:rPr>
          <w:b w:val="0"/>
          <w:i w:val="0"/>
        </w:rPr>
        <w:t>B) Về bảo vệ và phát triển rừng, cây xanh, vườn hoa :</w:t>
      </w:r>
    </w:p>
    <w:p>
      <w:r>
        <w:rPr>
          <w:b w:val="0"/>
          <w:i w:val="0"/>
        </w:rPr>
        <w:t>Việc bảo vệ và phát triển cây xanh, thảm cỏ, vườn hoa chưa được các cơ quan, đơn vị, cán bộ công nhân viên và nhân dân tham gia và hưởng ứng, ý thức bảo vệ kém ... dẫn đến cảnh quan đô thị xuống cấp. Do đó cần phát động phong trào và khuyến khích việc phát triển cây xanh, vườn hoa dọc theo các đường phố, quanh hồ, trước trụ sở cơ quan, trường học, nhà ở. Đối với các khuôn viên công trình tiếp cận mặt phố chính cần phải được chăm sóc thường xuyên và chỉnh trang theo quy hoạch có sự hướng dẫn của các ngành chuyên môn nhằm bảo đảm các yêu cầu sử dụng, mỹ quan đô thị (cần có các loại cây, hoa có màu sắc thích hợp cho từng đường phố, khu vực ...). Thủ trưởng cơ quan, chủ các cơ sở sản xuất, kinh doanh, dịch vụ và nhà dân phải chịu trách nhiệm chăm sóc, làm đẹp và bảo vệ cây xanh, vườn hoa trước nhà. Các khu phố, tổ dân phố cần thường xuyên kiểm tra, nhắc nhở để mọi người tự giác thực hiện và tự quản lý lẫn nhau. Trước mắt các cơ quan, đơn vị đoàn thể ... cần tiết kiệm chi để dành kinh phí thường xuyên hàng năm và huy động lao động của cán bộ, nhân viên, học sinh để trồng hoa, cây cảnh và dọn dẹp vệ sinh, đảm bảo cho khu vực cơ quan, đơn vị xanh-sạch-đẹp. Riêng việc cấp giấy phép xây dựng, sửa chữa, cải tạo nhà ở, công trình ... tuỳ theo quy hoạch đô thị và quy định việc trồng cây xanh, vườn hoa, thảm cỏ và coi đây là yêu cầu bắt buộc của hồ sơ xin phép xây dựng.</w:t>
      </w:r>
    </w:p>
    <w:p>
      <w:r>
        <w:rPr>
          <w:b w:val="0"/>
          <w:i w:val="0"/>
        </w:rPr>
        <w:t>C) Cần chủ động thực hiện các biện pháp duy trì, tôn tạo và phát triển các cảnh quan thiên nhiên như : kiên quyết bảo vệ ranh giới và từng bước khôi phục lại cảnh quan các danh lam thắng cảnh, lập dự án nạo vét và tôn tạo Hồ Xuân hương, khôi phục lại Hồ Mê linh, Hồ Vạn Kiếp, hệ thống suối hồ của thành phố trong các dự án trên cần xem xét kết hợp với việc phát triển du lịch, khu vui chơi giải trí ... để gọi vốn trong và ngoài nước, nhân dân để thực hiện. Phải coi trọng việc khuyến khích các thành phần kinh tế và huy động đóng góp của dân vào thực hiện các chương trình, mục tiêu của thành phố.</w:t>
      </w:r>
    </w:p>
    <w:p>
      <w:r>
        <w:rPr>
          <w:b w:val="0"/>
          <w:i w:val="0"/>
        </w:rPr>
        <w:t>5. Tăng cường công tác quản lý Nhà nước và bảo vệ phát triển cảnh quan thiên nhiên và bảo vệ môi trường sinh thái thành phố Đà Lạt. Trên cơ sở các qui định của nhà nước và pháp luật về bảo vệ môi trường, bảo vệ và phát triển rừng; quản lý bảo vệ các di tích lịch sử, văn hoá, danh lam thắng cảnh, qui hoạch xây dựng và căn cứ vào điều kiện đặc thù của thành phố Đà Lạt cần xây dựng và qui định cụ thể để thực hiện.</w:t>
      </w:r>
    </w:p>
    <w:p>
      <w:r>
        <w:rPr>
          <w:b w:val="0"/>
          <w:i w:val="0"/>
        </w:rPr>
        <w:t>Các sở, ban, ngành thuộc tỉnh cùng thành phố Đà Lạt cần thống nhất phân định chức năng quản lý ngành và quản lý lãnh thổ tránh chồng chéo như hiện nay.</w:t>
      </w:r>
    </w:p>
    <w:p>
      <w:r>
        <w:rPr>
          <w:b w:val="0"/>
          <w:i w:val="0"/>
        </w:rPr>
        <w:t>6. Tổ chức thực hiện :</w:t>
      </w:r>
    </w:p>
    <w:p>
      <w:r>
        <w:rPr>
          <w:b w:val="0"/>
          <w:i w:val="0"/>
        </w:rPr>
        <w:t>A) UBND thành phố Đà Lạt có trách nhiệm chỉ đạo và thực hiện các qui định quản lý Nhà nước về bảo vệ môi trường và cảnh quan đô thị; củng cố lại đội kiểm tra qui tắc đô thị và phải thường xuyên thanh tra, kiểm tra và xử lý vi phạm qui định về quản lý xây dựng qui hoạch đô thị. Kiểm tra lại các cơ sở sản xuất và dịch vụ, nếu không đạt yêu cầu buộc khắc phục hoặc không tiếp tục cấp phép hoạt động, rút giấy phép xây dựng kể cả đối với kiốt trước nhà dân, nơi công cộng. Xây dựng kế hoạch triển khai thực hiện cụ thể để HĐND thành phố thông qua làm cơ sở thực hiện. Có thể chọn một ngày để làm lễ ra quân phát động trong toàn thành phố mở chiến dịch bảo vệ cảnh quan môi trường làm sạch đẹp thành phố.</w:t>
      </w:r>
    </w:p>
    <w:p>
      <w:r>
        <w:rPr>
          <w:b w:val="0"/>
          <w:i w:val="0"/>
        </w:rPr>
        <w:t>B) UBND thành phố Đà Lạt cần củng cố và kiện toàn tổ chức bộ máy, cải tiến phương thức quản lý và tổ chức hoạt động của Công ty Quản lý công trình đô thị, Công ty Công viên Đà Lạt và các phòng, ban nghiệp vụ chuyên môn từ chức năng, nhiệm vụ thật rõ ràng, cụ thể có hiệu quả cao để đảm nhận công việc. Riêng Công ty Quản lý công trình đô thị và Công ty Công viên Đà Lạt cần phải trang bị cho các đơn vị này có các máy móc, thiết bị cần thiết để thực hiện nhiệm vụ được giao như xe vận chuyển rác, thùng đựng rác, xe hút hầm cầu, các loại giống cây, hoa ... Về nguồn kinh phí để đầu tư trang bị máy móc thiết bị ... các đơn vị cần lập dự án để xin vay vốn ưu đãi hoặc các nguồn vốn khác.</w:t>
      </w:r>
    </w:p>
    <w:p>
      <w:r>
        <w:rPr>
          <w:b w:val="0"/>
          <w:i w:val="0"/>
        </w:rPr>
        <w:t>C) Sở Xây dựng tỉnh có trách nhiệm kiểm tra, giám sát việc xây dựng và thực hiện quy hoạch và phát triển đô thị theo các quy chuẩn xây dựng, tiêu chuẩn về bảo vệ môi trường và các quy định hiện hành của Nhà nước, có văn bản hướng dẫn và cùng với UBND thành phố Đà Lạt tổ chức triển khai thực hiện các đồ án quy hoạch tổng thể và chi tiết xây dựng thành phố Đà Lạt. Cùng với UBND thành phố Đà Lạt soạn thảo quy chế quản lý đô thị Đà Lạt trình UBND tỉnh ban hành trong tháng 10/1997.</w:t>
      </w:r>
    </w:p>
    <w:p>
      <w:r>
        <w:rPr>
          <w:b w:val="0"/>
          <w:i w:val="0"/>
        </w:rPr>
        <w:t>D) Sở Khoa học Công nghệ Môi trường tỉnh, Sở Kế hoạch và Đầu tư tỉnh cần xem xét giải quyết cho thành phố Đà Lạt triển khai lập một số dự án về cây xanh đô thị, thoát nước đô thị, khôi phục một số hồ. Sở Tài chính Vật giá cần bố trí ngân sách Nhà nước hợp lý hàng năm cho công tác này.</w:t>
      </w:r>
    </w:p>
    <w:p>
      <w:r>
        <w:rPr>
          <w:b w:val="0"/>
          <w:i w:val="0"/>
        </w:rPr>
        <w:t>E) Sở Du lịch tỉnh, Sở Văn hoá Thông tin và Thể thao tỉnh cùng với UBND thành phố Đà Lạt và các ngành có liên quan cần tiếp tục thực hiện việc khoanh định các di tích văn hoá lịch sử, các cảnh quan thiên nhiên, các khu bảo vệ thiên nhiên cần giữ lại và bảo vệ ... trình UBND tỉnh xem xét quyết định.</w:t>
      </w:r>
    </w:p>
    <w:p>
      <w:r>
        <w:rPr>
          <w:b w:val="0"/>
          <w:i w:val="0"/>
        </w:rPr>
        <w:t>G) Giao Sở Kế hoạch Đầu tư, Sở Xây dựng, Sở Khoa học Công nghệ Môi trường tỉnh, Sở Nông nghiệp và Phát triển Nông thôn tỉnh, Sở Du lịch, Sở Văn hoá Thông tin thể thao tỉnh, Sở Tài chính Vật giá tỉnh, Chi Cục Kiểm lâm, UBND thành phố Đà Lạt và các ngành đơn vị có liên quan có trách nhiệm kiểm tra đôn đốc, hướng dẫn và theo dõi việc thực hiện và đề nghị các hình thức khen thưởng, phê bình kịp thời đối với những cơ sở, cá nhân có thành tích hoặc không chấp hành nghiêm túc chỉ thị này./.</w:t>
      </w:r>
    </w:p>
    <w:p>
      <w:r>
        <w:rPr>
          <w:b w:val="0"/>
          <w:i w:val="0"/>
        </w:rPr>
        <w:br/>
      </w:r>
      <w:r>
        <w:rPr>
          <w:b w:val="0"/>
          <w:i w:val="0"/>
        </w:rPr>
        <w:br/>
      </w:r>
      <w:r>
        <w:rPr>
          <w:b/>
          <w:i w:val="0"/>
        </w:rPr>
        <w:br/>
      </w:r>
      <w:r>
        <w:rPr>
          <w:b/>
          <w:i w:val="0"/>
        </w:rPr>
        <w:br/>
      </w:r>
      <w:r>
        <w:rPr>
          <w:b/>
          <w:i w:val="0"/>
        </w:rPr>
        <w:t xml:space="preserve">TM. ỦY BAN NHÂN DÂN </w:t>
      </w:r>
      <w:r>
        <w:rPr>
          <w:b/>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rPr>
        <w:br/>
      </w:r>
      <w:r>
        <w:rPr>
          <w:b/>
          <w:i/>
        </w:rPr>
        <w:t xml:space="preserve">  </w:t>
      </w:r>
      <w:r>
        <w:rPr>
          <w:b/>
          <w:i/>
        </w:rPr>
        <w:br/>
      </w:r>
      <w:r>
        <w:rPr>
          <w:b/>
          <w:i w:val="0"/>
        </w:rPr>
        <w:br/>
      </w:r>
      <w:r>
        <w:rPr>
          <w:b/>
          <w:i w:val="0"/>
        </w:rPr>
        <w:br/>
      </w:r>
      <w:r>
        <w:rPr>
          <w:b/>
          <w:i w:val="0"/>
        </w:rPr>
        <w:t>Đặng Đức Lợi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rPr>
          <w:b/>
          <w:i w:val="0"/>
        </w:rPr>
        <w:br/>
      </w:r>
      <w:r>
        <w:rPr>
          <w:b/>
          <w:i w:val="0"/>
        </w:rPr>
        <w:br/>
      </w:r>
      <w:r>
        <w:rPr>
          <w:b/>
          <w:i w:val="0"/>
        </w:rPr>
        <w:t>KT. CHỦ TỊCH</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rPr>
        <w:br/>
      </w:r>
      <w:r>
        <w:rPr>
          <w:b/>
          <w:i/>
        </w:rPr>
        <w:t xml:space="preserve">  </w:t>
      </w:r>
      <w:r>
        <w:rPr>
          <w:b/>
          <w:i/>
        </w:rPr>
        <w:br/>
      </w:r>
      <w:r>
        <w:rPr>
          <w:b/>
          <w:i w:val="0"/>
        </w:rPr>
        <w:br/>
      </w:r>
      <w:r>
        <w:rPr>
          <w:b/>
          <w:i w:val="0"/>
        </w:rPr>
        <w:br/>
      </w:r>
      <w:r>
        <w:rPr>
          <w:b/>
          <w:i w:val="0"/>
        </w:rPr>
        <w:t>Đặng Đức Lợi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rPr>
          <w:b w:val="0"/>
          <w:i w:val="0"/>
        </w:rPr>
        <w:br/>
      </w:r>
      <w:r>
        <w:rPr>
          <w:b/>
          <w:i w:val="0"/>
        </w:rPr>
        <w:br/>
      </w:r>
      <w:r>
        <w:rPr>
          <w:b/>
          <w:i w:val="0"/>
        </w:rPr>
        <w:t>KT. CHỦ TỊCH</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rPr>
        <w:br/>
      </w:r>
      <w:r>
        <w:rPr>
          <w:b/>
          <w:i/>
        </w:rPr>
        <w:t xml:space="preserve">  </w:t>
      </w:r>
      <w:r>
        <w:rPr>
          <w:b/>
          <w:i/>
        </w:rPr>
        <w:br/>
      </w:r>
      <w:r>
        <w:rPr>
          <w:b w:val="0"/>
          <w:i w:val="0"/>
        </w:rPr>
        <w:br/>
      </w:r>
      <w:r>
        <w:rPr>
          <w:b/>
          <w:i w:val="0"/>
        </w:rPr>
        <w:br/>
      </w:r>
      <w:r>
        <w:rPr>
          <w:b/>
          <w:i w:val="0"/>
        </w:rPr>
        <w:t>Đặng Đức Lợi</w:t>
      </w:r>
      <w:r>
        <w:rPr>
          <w:b/>
          <w:i w:val="0"/>
        </w:rPr>
        <w:br/>
      </w:r>
      <w:r>
        <w:rPr>
          <w:b w:val="0"/>
          <w:i w:val="0"/>
        </w:rPr>
        <w:br/>
      </w:r>
    </w:p>
    <w:p>
      <w:r>
        <w:rPr>
          <w:b w:val="0"/>
          <w:i w:val="0"/>
        </w:rPr>
        <w:br/>
      </w:r>
      <w:r>
        <w:rPr>
          <w:b w:val="0"/>
          <w:i w:val="0"/>
        </w:rPr>
        <w:t xml:space="preserve">TM. ỦY BAN NHÂN DÂN </w:t>
      </w:r>
      <w:r>
        <w:rPr>
          <w:b w:val="0"/>
          <w:i w:val="0"/>
        </w:rPr>
        <w:br/>
      </w:r>
    </w:p>
    <w:p>
      <w:r>
        <w:rPr>
          <w:b w:val="0"/>
          <w:i w:val="0"/>
        </w:rP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i w:val="0"/>
        </w:rPr>
        <w:t>Đặng Đức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