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43/2001/QĐ/BNN-TCCB V/v đổi tên Công ty tầu cuốc II thành Công ty cơ giới thuỷ - đầu tư và xây dựng</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43/2001/QĐ/BNN-TCCB</w:t>
        <w:br/>
        <w:t xml:space="preserve">     </w:t>
      </w:r>
      <w:r>
        <w:rPr>
          <w:b w:val="0"/>
          <w:i w:val="0"/>
        </w:rPr>
        <w:br/>
      </w:r>
      <w:r>
        <w:rPr>
          <w:b w:val="0"/>
          <w:i/>
        </w:rPr>
        <w:br/>
        <w:t xml:space="preserve">      Hà Nội, ngày 17 tháng 4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43/2001/QĐ/BNN-TCCB</w:t>
        <w:br/>
        <w:t xml:space="preserve">     </w:t>
      </w:r>
      <w:r>
        <w:rPr>
          <w:b w:val="0"/>
          <w:i w:val="0"/>
        </w:rPr>
        <w:br/>
      </w:r>
      <w:r>
        <w:rPr>
          <w:b w:val="0"/>
          <w:i/>
        </w:rPr>
        <w:br/>
        <w:t xml:space="preserve">      Hà Nội, ngày 17 tháng 4 năm 2001</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43/2001/QĐ/BNN-TCCB</w:t>
        <w:br/>
        <w:t xml:space="preserve">     </w:t>
      </w:r>
      <w:r>
        <w:rPr>
          <w:b w:val="0"/>
          <w:i w:val="0"/>
        </w:rPr>
        <w:br/>
      </w:r>
      <w:r>
        <w:rPr>
          <w:b w:val="0"/>
          <w:i/>
        </w:rPr>
        <w:br/>
        <w:t xml:space="preserve">      Hà Nội, ngày 17 tháng 4 năm 2001</w:t>
        <w:br/>
        <w:t xml:space="preserve">     </w:t>
      </w:r>
      <w:r>
        <w:rPr>
          <w:b w:val="0"/>
          <w:i w:val="0"/>
        </w:rPr>
        <w:br/>
      </w:r>
    </w:p>
    <w:p>
      <w:pPr>
        <w:jc w:val="center"/>
      </w:pPr>
      <w:r>
        <w:rPr>
          <w:b w:val="0"/>
          <w:i w:val="0"/>
        </w:rPr>
        <w:br/>
        <w:t xml:space="preserve">      Số: 43/2001/QĐ/BNN-TCCB</w:t>
        <w:br/>
        <w:t xml:space="preserve">     </w:t>
      </w:r>
    </w:p>
    <w:p>
      <w:pPr>
        <w:jc w:val="center"/>
      </w:pPr>
      <w:r>
        <w:rPr>
          <w:b w:val="0"/>
          <w:i w:val="0"/>
        </w:rPr>
        <w:br/>
        <w:t xml:space="preserve">      Hà Nội, ngày 17 tháng 4 năm 2001</w:t>
        <w:br/>
        <w:t xml:space="preserve">     </w:t>
      </w:r>
    </w:p>
    <w:p>
      <w:r>
        <w:rPr>
          <w:b/>
          <w:i w:val="0"/>
        </w:rPr>
        <w:t xml:space="preserve">QUYẾT ĐỊNH </w:t>
      </w:r>
    </w:p>
    <w:p>
      <w:r>
        <w:rPr>
          <w:b/>
          <w:i w:val="0"/>
        </w:rPr>
        <w:t>V/v đổi tên Công ty tầu cuốc II thành Công ty cơ giới thuỷ - đầu tư và xây dựng</w:t>
      </w:r>
    </w:p>
    <w:p>
      <w:r>
        <w:rPr>
          <w:b/>
          <w:i w:val="0"/>
        </w:rPr>
        <w:t>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Nghị định 50-CP ngày 28/ 8/ 1996 của Chính phủ về thành lập, tổ chức lại, giải thể và phá sản doanh nghiệp nhà nước;</w:t>
      </w:r>
      <w:r>
        <w:br/>
      </w:r>
      <w:r>
        <w:rPr>
          <w:b w:val="0"/>
          <w:i/>
        </w:rPr>
        <w:br/>
        <w:t xml:space="preserve">     Xét đề nghị của Giám đốc Công ty Tầu cuốc II (tờ trình số 200 CTTC2/TT-TCHC ngày 14/4/2001) và Vụ trưởng Vụ Tổ chức cán bộ, </w:t>
      </w:r>
    </w:p>
    <w:p>
      <w:r>
        <w:rPr>
          <w:b/>
          <w:i w:val="0"/>
        </w:rPr>
        <w:t>QUYẾT ĐỊNH:</w:t>
      </w:r>
    </w:p>
    <w:p>
      <w:r>
        <w:rPr>
          <w:b/>
          <w:i w:val="0"/>
        </w:rPr>
        <w:t xml:space="preserve">Điều 1. </w:t>
      </w:r>
      <w:r>
        <w:rPr>
          <w:b w:val="0"/>
          <w:i w:val="0"/>
        </w:rPr>
        <w:t>Đổi tên Công ty Tầu cuốc II thành Công ty Thi công cơ giới thuỷ - đầu tư và xây dựng.</w:t>
      </w:r>
    </w:p>
    <w:p>
      <w:r>
        <w:rPr>
          <w:b/>
          <w:i w:val="0"/>
        </w:rPr>
        <w:t xml:space="preserve">Điều 2. </w:t>
      </w:r>
      <w:r>
        <w:rPr>
          <w:b w:val="0"/>
          <w:i w:val="0"/>
        </w:rPr>
        <w:t>Công ty Tầu cuốc II có trách nhiệm điều chỉnh đăng ký kinh doanh, đổi con dấu mới theo quy định.</w:t>
      </w:r>
    </w:p>
    <w:p>
      <w:r>
        <w:rPr>
          <w:b/>
          <w:i w:val="0"/>
        </w:rPr>
        <w:t xml:space="preserve">Điều 3. </w:t>
      </w:r>
      <w:r>
        <w:rPr>
          <w:b w:val="0"/>
          <w:i w:val="0"/>
        </w:rPr>
        <w:t>Quyết định này có hiệu lực sau 15 ngày, kể từ ngày ký.</w:t>
      </w:r>
    </w:p>
    <w:p>
      <w:r>
        <w:rPr>
          <w:b w:val="0"/>
          <w:i w:val="0"/>
        </w:rPr>
        <w:t>Chánh Văn phòng Bộ, Vụ trưởng Vụ Tổ chức cán bộ, Thủ trưởng các cơ quan đơn vị thuộc Bộ và Giám đốc Công ty Tầu cuốc II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t>BỘ NÔNG NGHIỆP</w:t>
      </w:r>
      <w:r>
        <w:rPr>
          <w:b/>
          <w:i w:val="0"/>
        </w:rPr>
        <w:t xml:space="preserve"> </w:t>
      </w:r>
      <w:r>
        <w:rPr>
          <w:b/>
          <w:i w:val="0"/>
        </w:rPr>
        <w:t>VÀ PHÁT TRIỂN NÔNG THÔN</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t>BỘ NÔNG NGHIỆP</w:t>
      </w:r>
      <w:r>
        <w:rPr>
          <w:b/>
          <w:i w:val="0"/>
        </w:rPr>
        <w:t xml:space="preserve"> </w:t>
      </w:r>
      <w:r>
        <w:rPr>
          <w:b/>
          <w:i w:val="0"/>
        </w:rPr>
        <w:t>VÀ PHÁT TRIỂN NÔNG THÔN</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t>BỘ NÔNG NGHIỆP</w:t>
      </w:r>
      <w:r>
        <w:rPr>
          <w:b/>
          <w:i w:val="0"/>
        </w:rPr>
        <w:t xml:space="preserve"> </w:t>
      </w:r>
      <w:r>
        <w:rPr>
          <w:b/>
          <w:i w:val="0"/>
        </w:rPr>
        <w:t>VÀ PHÁT TRIỂN NÔNG THÔN</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i w:val="0"/>
        </w:rPr>
        <w:t>BỘ NÔNG NGHIỆP</w:t>
      </w:r>
      <w:r>
        <w:rPr>
          <w:b w:val="0"/>
          <w:i w:val="0"/>
        </w:rPr>
        <w:t xml:space="preserve"> </w:t>
      </w:r>
      <w:r>
        <w:rPr>
          <w:b/>
          <w:i w:val="0"/>
        </w:rPr>
        <w:t>VÀ PHÁT TRIỂN NÔNG THÔN</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