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43/CT-UB Về việc thi công nền móng công trình đóng cọc bêtông bằng búa máy diezel.</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t>Số: 43/CT-UB-QLĐT</w:t>
      </w:r>
      <w:r>
        <w:rPr>
          <w:b w:val="0"/>
          <w:i w:val="0"/>
        </w:rPr>
        <w:br/>
      </w:r>
      <w:r>
        <w:rPr>
          <w:b w:val="0"/>
          <w:i/>
        </w:rPr>
        <w:t>TP. Hồ Chí Minh, ngày 06/09/1993</w:t>
      </w:r>
      <w:r>
        <w:rPr>
          <w:b w:val="0"/>
          <w:i w:val="0"/>
        </w:rPr>
        <w:br/>
      </w:r>
      <w:r>
        <w:rPr>
          <w:b w:val="0"/>
          <w:i w:val="0"/>
        </w:rPr>
        <w:br/>
      </w:r>
      <w:r>
        <w:rPr>
          <w:b w:val="0"/>
          <w:i w:val="0"/>
        </w:rPr>
        <w:br/>
      </w:r>
      <w:r>
        <w:rPr>
          <w:b w:val="0"/>
          <w:i w:val="0"/>
        </w:rPr>
        <w:br/>
      </w:r>
      <w:r>
        <w:rPr>
          <w:b/>
          <w:i w:val="0"/>
        </w:rPr>
        <w:t>CHỈ THỊ</w:t>
      </w:r>
      <w:r>
        <w:rPr>
          <w:b w:val="0"/>
          <w:i w:val="0"/>
        </w:rPr>
        <w:br/>
      </w:r>
      <w:r>
        <w:rPr>
          <w:b/>
          <w:i w:val="0"/>
        </w:rPr>
        <w:t>V/v thi công nền móng công trình đóng cọc bêtông bằng búa máy Diezel</w:t>
      </w:r>
      <w:r>
        <w:rPr>
          <w:b w:val="0"/>
          <w:i w:val="0"/>
        </w:rPr>
        <w:br/>
      </w:r>
      <w:r>
        <w:rPr>
          <w:b w:val="0"/>
          <w:i w:val="0"/>
        </w:rPr>
        <w:t>Để xác định rõ trách nhiệm, xét đề nghị của Giám đốc Sở Xây dựng, công văn số 574/SXD ngày 24/05/1993 về việc cho phép hoặc không cho phép đóng cọc bêtông bằng búa máy tại các công trình xây dựng trong nội thành và khu đông dân cư ở ngoại thành, Ủy ban nhân dân thành phố chỉ thị như sau:</w:t>
      </w:r>
      <w:r>
        <w:rPr>
          <w:b w:val="0"/>
          <w:i w:val="0"/>
        </w:rPr>
        <w:br/>
      </w:r>
      <w:r>
        <w:rPr>
          <w:b w:val="0"/>
          <w:i w:val="0"/>
        </w:rPr>
        <w:t>1/ Sở Xây dựng khi xét cấp giấy phép xây dựng các công trình cao tầng trên địa bàn thành phố phải phối hợp với Ủy ban Môi trường thành phố, Ủy ban nhân dân quận hoặc huệyn, Ủy ban nhân dân phường hoặc xã sở tại đến xem xét cũ thể tại hiện trường về các mặt: độ chấn động, tiếng ồn, nồng độ khói dầu do thiết bị thi công đóng cọc gây ra để quyết định cho phép hay không cho phép sử dụng biện pháp cùng thiết bị thi công đóng cọc do chủ đầu tư xin phép.</w:t>
      </w:r>
      <w:r>
        <w:rPr>
          <w:b w:val="0"/>
          <w:i w:val="0"/>
        </w:rPr>
        <w:br/>
      </w:r>
      <w:r>
        <w:rPr>
          <w:b w:val="0"/>
          <w:i w:val="0"/>
        </w:rPr>
        <w:t>Nếu cho phép đóng cọc bêtông bằng búa máy diesel thì phải xác định rõ trong giấy phép để chủ đầu tư thực hiện:</w:t>
      </w:r>
      <w:r>
        <w:rPr>
          <w:b w:val="0"/>
          <w:i w:val="0"/>
        </w:rPr>
        <w:br/>
      </w:r>
      <w:r>
        <w:rPr>
          <w:b w:val="0"/>
          <w:i w:val="0"/>
        </w:rPr>
        <w:t>- Mua bảo hiểm công trình hoặc có đảm bảo tài chính đối với các rũi ro có thể gây ra cho người và tài sản lân cận với Công ty Bảo hiểm thành phố để Công ty Bảo hiểm thành phố chịu trách nhiệm đền bù theo đúng luật pháp.</w:t>
      </w:r>
      <w:r>
        <w:rPr>
          <w:b w:val="0"/>
          <w:i w:val="0"/>
        </w:rPr>
        <w:br/>
      </w:r>
      <w:r>
        <w:rPr>
          <w:b w:val="0"/>
          <w:i w:val="0"/>
        </w:rPr>
        <w:t>- Phải đề ra các biện pháp cần thiết để giảm thiểu tiếng ồn, khói dầu và chấn động, như: Hàng rào che chắn bụi và âm thanh, mương hố ngăn chấn động (nếu cần), giới hạn thời gian được phép đóng cọc trong ngày và đêm…</w:t>
      </w:r>
      <w:r>
        <w:rPr>
          <w:b w:val="0"/>
          <w:i w:val="0"/>
        </w:rPr>
        <w:br/>
      </w:r>
      <w:r>
        <w:rPr>
          <w:b w:val="0"/>
          <w:i w:val="0"/>
        </w:rPr>
        <w:t>2/ Trường hợp có xảy ra rủi roc ho người hoặc tài sản thì chủ đầu tư phải phối hợp với Công ty bảo hiểm và chính quyền sở tại giải quyết ngay hậu quả. Trường hợp có tranh chấp, đã qua hòa giải nhưng không giải quyết được thì cơ quan cấp phép xây dựng phối hợp với các ngành chức năng giám định mức độ thiệt hại, lập biên bản chuyển sang Tòa án xét xử.</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r>
        <w:rPr>
          <w:b w:val="0"/>
          <w:i w:val="0"/>
        </w:rPr>
        <w:br/>
      </w:r>
      <w:r>
        <w:rPr>
          <w:b w:val="0"/>
          <w:i w:val="0"/>
        </w:rPr>
        <w:t>3/ Sở Xây dựng có trách nhiệm hướng dẫn các chủ đầu tư công trình cao tầng về các biện pháp xử lý nền móng trước và trong thời gian khảo sát thiết kế công trình, đừng để thiết kế và chuẩn bị vật tư thi công nền móng xong rồi mới thay đổi sẽ gây thiệt hại cho chủ công trình.</w:t>
      </w:r>
      <w:r>
        <w:rPr>
          <w:b w:val="0"/>
          <w:i w:val="0"/>
        </w:rPr>
        <w:br/>
      </w:r>
      <w:r>
        <w:rPr>
          <w:b w:val="0"/>
          <w:i w:val="0"/>
        </w:rPr>
        <w:t>4/ Các công trình đã và đang thi công bằng biện pháp đóng cọc bêtông cốt thép để xử lý nền móng thì cho tiếp tục thi công với điều kiện chủ đầu tư phải thực hiện đầy đủ trách nhiệm ở điểm 1 trong chỉ thị này.</w:t>
      </w:r>
      <w:r>
        <w:rPr>
          <w:b w:val="0"/>
          <w:i w:val="0"/>
        </w:rPr>
        <w:br/>
      </w:r>
      <w:r>
        <w:rPr>
          <w:b w:val="0"/>
          <w:i w:val="0"/>
        </w:rPr>
        <w:t>Sở Xây dựng chịu trách nhiệm hướng dẫn các chủ đầu tư và các doanh nghiệp xây dựng trên địa bàn thành phố phải thực hiện nghiêm túc chỉ thị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T/M ỦY BAN NHÂN DÂN THÀNH PHỐ</w:t>
            </w:r>
            <w:r>
              <w:rPr>
                <w:b w:val="0"/>
                <w:i w:val="0"/>
              </w:rPr>
              <w:br/>
            </w:r>
            <w:r>
              <w:rPr>
                <w:b w:val="0"/>
                <w:i w:val="0"/>
              </w:rPr>
              <w:t>K/T Chủ tịch</w:t>
            </w:r>
            <w:r>
              <w:rPr>
                <w:b w:val="0"/>
                <w:i w:val="0"/>
              </w:rPr>
              <w:br/>
            </w:r>
            <w:r>
              <w:rPr>
                <w:b w:val="0"/>
                <w:i w:val="0"/>
              </w:rPr>
              <w:t>Phó Chủ tịch</w:t>
            </w:r>
            <w:r>
              <w:rPr>
                <w:b w:val="0"/>
                <w:i w:val="0"/>
              </w:rPr>
              <w:br/>
            </w:r>
            <w:r>
              <w:rPr>
                <w:b w:val="0"/>
                <w:i w:val="0"/>
              </w:rPr>
              <w:t>Võ Viết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