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44/2010/QH12 Phê chuẩn quyết toán ngân sách nhà nước năm 2008</w:t>
      </w:r>
    </w:p>
    <w:p>
      <w:pPr>
        <w:jc w:val="center"/>
      </w:pPr>
      <w:r>
        <w:rPr>
          <w:b/>
          <w:i w:val="0"/>
        </w:rPr>
        <w:t>PHẦN I. VĂN BẢN QUY PHẠM PHÁP LUẬT</w:t>
      </w:r>
    </w:p>
    <w:p>
      <w:pPr>
        <w:jc w:val="center"/>
      </w:pPr>
      <w:r>
        <w:rPr>
          <w:b/>
          <w:i w:val="0"/>
        </w:rPr>
        <w:t>QUỐC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 xml:space="preserve"> </w:t>
            </w:r>
          </w:p>
        </w:tc>
        <w:tc>
          <w:tcPr>
            <w:tcW w:type="dxa" w:w="4320"/>
          </w:tcPr>
          <w:p>
            <w:r>
              <w:rPr>
                <w:b w:val="0"/>
                <w:i w:val="0"/>
              </w:rPr>
              <w:br/>
            </w:r>
            <w:r>
              <w:rPr>
                <w:b/>
                <w:i w:val="0"/>
              </w:rPr>
              <w:t>CỘNG HÒA XÃ HỘI CHRU NGHĨA VIỆT NAM</w:t>
            </w:r>
            <w:r>
              <w:rPr>
                <w:b w:val="0"/>
                <w:i w:val="0"/>
              </w:rPr>
              <w:br/>
            </w:r>
            <w:r>
              <w:rPr>
                <w:b/>
                <w:i w:val="0"/>
              </w:rPr>
              <w:t>Độc lập - Tự do - Hạnh phúc</w:t>
            </w:r>
          </w:p>
        </w:tc>
      </w:tr>
    </w:tbl>
    <w:p>
      <w:pPr>
        <w:jc w:val="center"/>
      </w:pPr>
      <w:r>
        <w:rPr>
          <w:b/>
          <w:i w:val="0"/>
        </w:rPr>
        <w:t>NGHỊ QUYẾT</w:t>
      </w:r>
    </w:p>
    <w:p>
      <w:pPr>
        <w:jc w:val="center"/>
      </w:pPr>
      <w:r>
        <w:rPr>
          <w:b/>
          <w:i w:val="0"/>
        </w:rPr>
        <w:t>Phê chuẩn quyết toán ngân sách nhà nước 2008</w:t>
      </w:r>
    </w:p>
    <w:p>
      <w:pPr>
        <w:jc w:val="center"/>
      </w:pPr>
      <w:r>
        <w:rPr>
          <w:b/>
          <w:i w:val="0"/>
        </w:rPr>
        <w:t>______________________________</w:t>
      </w:r>
    </w:p>
    <w:p>
      <w:pPr>
        <w:jc w:val="center"/>
      </w:pPr>
      <w:r>
        <w:rPr>
          <w:b/>
          <w:i w:val="0"/>
        </w:rPr>
        <w:t>QUỐC HỘI</w:t>
      </w:r>
    </w:p>
    <w:p>
      <w:pPr>
        <w:jc w:val="center"/>
      </w:pPr>
      <w:r>
        <w:rPr>
          <w:b/>
          <w:i w:val="0"/>
        </w:rPr>
        <w:t>NƯỚC CỘNG HÒA XÃ HỘI CHỦ NGHĨA VIỆT NAM</w:t>
      </w:r>
    </w:p>
    <w:p>
      <w:r>
        <w:rPr>
          <w:b w:val="0"/>
          <w:i w:val="0"/>
        </w:rPr>
        <w:t>Căn cứ Điều 84 của Hiến pháp nước Cộng hòa xã hội chủ nghĩa Việt Nam năm1992 đã được sửa đổi, bổ sung theo Nghị quyết số 51/2001/QH10 của Quốc hội;</w:t>
      </w:r>
    </w:p>
    <w:p>
      <w:r>
        <w:rPr>
          <w:b w:val="0"/>
          <w:i w:val="0"/>
        </w:rPr>
        <w:t>Căn cứ Luật Ngân sách nhà nước năm 2002;</w:t>
      </w:r>
    </w:p>
    <w:p>
      <w:r>
        <w:rPr>
          <w:b w:val="0"/>
          <w:i w:val="0"/>
        </w:rPr>
        <w:t>Căn cứ Nghị quyết số 08/2007/QH12 ngày 12 tháng 11 năm 2007 của Quốc hộivề dự toán ngân sách nhà nước năm 2008 và Nghị quyết số 09/2007/QH12 ngày 14tháng 11 năm 2007 của Quốc hội về phân bổ ngân sách trung ương năm 2008;</w:t>
      </w:r>
    </w:p>
    <w:p>
      <w:r>
        <w:rPr>
          <w:b w:val="0"/>
          <w:i w:val="0"/>
        </w:rPr>
        <w:t>Sau khi xem xét Báo cáo số 52/BC-CP ngày 10 tháng 5 năm 2010 của Chínhphủ, Báo cáo thẩm tra số 1299/BC-UBTCNS12 ngày 10 tháng 5 năm 2010 của Ủyban Tài chính - Ngân sách của Quốc hội, Báo cáo kiểm toán số 97/BC-KTNN ngày06 tháng 5 năm 2010 của Kiểm toán Nhà nước, ý kiến của các đại biểu Quốc hội vàBáo cáo tiếp thu, giải trình số 334/UBTVQH12 ngày 11 tháng 6 năm 2010 của Ủyban thường vụ Quốc hội về quyết toán ngân sách nhà nước năm 2008,</w:t>
      </w:r>
    </w:p>
    <w:p>
      <w:pPr>
        <w:jc w:val="center"/>
      </w:pPr>
      <w:r>
        <w:rPr>
          <w:b/>
          <w:i w:val="0"/>
        </w:rPr>
        <w:t xml:space="preserve"> QUYẾT ĐỊNH:</w:t>
      </w:r>
    </w:p>
    <w:p>
      <w:r>
        <w:rPr>
          <w:b/>
          <w:i w:val="0"/>
        </w:rPr>
        <w:t>Điều 1.Phê chuẩn quyết toán ngân sách nhà nước năm 2008</w:t>
      </w:r>
    </w:p>
    <w:p>
      <w:r>
        <w:rPr>
          <w:b w:val="0"/>
          <w:i w:val="0"/>
        </w:rPr>
        <w:t>1. Tổng số thu cân đối ngân sách nhà nước là 548.529 tỷ đồng (năm trăm bốnmươi tám nghìn, năm trăm hai mươi chín tỷ đồng), bao gồm cả số thu chuyển nguồntừ năm 2007 sang năm 2008, thu từ quỹ dự trữ tài chính, thu huy động đầu tư củangân sách địa phương theo quy định tại Khoản 3 Điều 8 của Luật Ngân sách nhà nước và thu kết dư ngân sách địa phương năm 2007;</w:t>
      </w:r>
    </w:p>
    <w:p>
      <w:r>
        <w:rPr>
          <w:b w:val="0"/>
          <w:i w:val="0"/>
        </w:rPr>
        <w:t>2. Tổng số chi cân đối ngân sách nhà nước là 590.714 tỷ đồng (năm trăm chín mươi nghìn bảy trăm mười bốn tỷ đồng), bao gồm cả số chi chuyển nguồn từ năm 2008 sang năm 2009.</w:t>
      </w:r>
    </w:p>
    <w:p>
      <w:r>
        <w:rPr>
          <w:b w:val="0"/>
          <w:i w:val="0"/>
        </w:rPr>
        <w:t>3. Bội chi ngân sách nhà nước là 67.677 tỷ đồng (sáu mươi bảy nghìn sáu trăm bảy mươi bảy tỷ đồng), bằng 4,58% tổng sản phẩm trong nước (GDP), không bao gồm số kết dư của ngân sách địa phương.</w:t>
      </w:r>
    </w:p>
    <w:p>
      <w:r>
        <w:rPr>
          <w:b w:val="0"/>
          <w:i w:val="0"/>
        </w:rPr>
        <w:t>Nguồn bù đắp bội chi ngân sách nhà nước:</w:t>
      </w:r>
    </w:p>
    <w:p>
      <w:r>
        <w:rPr>
          <w:b w:val="0"/>
          <w:i w:val="0"/>
        </w:rPr>
        <w:t>- Vay trong nước: 48.009 tỷ đồng (bốn mươi tám nghìn không trăm linh chín tỷ đồng);</w:t>
      </w:r>
    </w:p>
    <w:p>
      <w:r>
        <w:rPr>
          <w:b w:val="0"/>
          <w:i w:val="0"/>
        </w:rPr>
        <w:t>- Vay ngoài nước: 19.668 tỷ đồng (mười chín nghìn sáu trăm sáu mươi tám tỷ đồng).</w:t>
      </w:r>
    </w:p>
    <w:p>
      <w:r>
        <w:rPr>
          <w:b w:val="0"/>
          <w:i w:val="0"/>
        </w:rPr>
        <w:t>(Theo các phụ lục số 1, 2, 3, 4 và 5 đính kèm).</w:t>
      </w:r>
    </w:p>
    <w:p>
      <w:r>
        <w:rPr>
          <w:b/>
          <w:i w:val="0"/>
        </w:rPr>
        <w:t>Điều 2. Quyết định này có hiệu lực thi hành sau 45 ngày, kể từ ngày ký.</w:t>
      </w:r>
    </w:p>
    <w:p>
      <w:r>
        <w:rPr>
          <w:b w:val="0"/>
          <w:i w:val="0"/>
        </w:rPr>
        <w:t>1. Thực hiện công khai quyết toán ngân sách nhà nước năm 2008 theo quy định.Chỉ đạo các cơ quan trung ương, địa phương và đơn vị xem xét, thực hiện các kiếnnghị tại Báo cáo thẩm tra số 1299/BC-UBTCNS12 ngày 10 tháng 5 năm 2010 củaỦy ban Tài chính - Ngân sách, kết luận và kiến nghị của Kiểm toán Nhà nước tạiBáo cáo kiểm toán số 97/BC-KTNN ngày 06 tháng 5 năm 2010 và của các cơ quanthanh tra, kiểm tra khác.</w:t>
      </w:r>
    </w:p>
    <w:p>
      <w:r>
        <w:rPr>
          <w:b w:val="0"/>
          <w:i w:val="0"/>
        </w:rPr>
        <w:t>2. Rà soát, sửa đổi, bổ sung các văn bản quy phạm pháp luật về tài chính - ngân sách không còn phù hợp theo thẩm quyền, nhất là các quy định về tiêu chuẩn, chế độ, định mức chi ngân sách, làm căn cứ để quản lý và điều hành ngân sách đúng quy định, tiết kiệm, hiệu quả. Nghiên cứu, trình Quốc hội, Ủy ban Thường vụ Quốc hội sửa đổi kịp thời các luật, pháp lệnh, nghị quyết về tài chính - ngân sách, khắc phục những tồn tại, bất cập đang đặt ra. Tthẩm quyền; thực hiện công tác quyết toán vốn đầu tư dự án hoàn thành đúng quy định của Luậtrước mắt, quy định cụ thể đối tượng, điều kiện các khoản được chuyển nguồn sang năm sau, điều kiện được tạm ứng vốn đầu tư xây dựng cơ bản, thời gian thu hồi tạm ứng, khắc phục tình trạng tạm ứng vốn lớn,chuyển nguồn lớn, nâng cao hiệu quả sử dụng ngân sách nhà nước.</w:t>
      </w:r>
    </w:p>
    <w:p>
      <w:r>
        <w:rPr>
          <w:b w:val="0"/>
          <w:i w:val="0"/>
        </w:rPr>
        <w:t>3. Chỉ đạo các bộ, ngành, địa phương nâng cao hơn nữa chất lượng dự báo, xây dựng dự toán ngân sách nhà nước, bảo đảm dự toán ngân sách nhà nước sát thực tế. Điều hành chi ngân sách nhà nước bám sát dự toán được phê duyệt, đúng thẩm quyền; thực hiện công tác quyết toán vốn đầu tư dự án hoàn thành đúng quy định của Luật Ngân sách nhà nước và các quy định khác của pháp luật; sử dụng ngân sách,tiền và tài sản nhà nước tiết kiệm, hiệu quả, giữ vững an ninh tài chính quốc gia.</w:t>
      </w:r>
    </w:p>
    <w:p>
      <w:r>
        <w:rPr>
          <w:b w:val="0"/>
          <w:i w:val="0"/>
        </w:rPr>
        <w:t>4. Tăng cường công tác quản lý thu thuế, phí, lệ phí và các khoản thu khác theo quy định của pháp luật; xử lý nghiêm, kịp thời các trường hợp trốn lậu, nợ đọng thuế,bảo đảm thu ngân sách nhà nước đúng, đủ, kịp thời theo quy định của pháp luật. Chú trọng nâng cao chất lượng, hiệu quả công tác thanh tra, kiểm tra, kiểm toán, kiểm soát chặt chẽ các khoản chi, nhất là các khoản chi phát sinh ngoài dự toán. Thực hiện tốt các quy định của Luật Phòng, chống tham nhũng và Luật Thực hành tiết kiệm,chống lãng phí.</w:t>
      </w:r>
    </w:p>
    <w:p>
      <w:r>
        <w:rPr>
          <w:b w:val="0"/>
          <w:i w:val="0"/>
        </w:rPr>
        <w:t>5. Kiểm điểm trách nhiệm, xử lý nghiêm, kịp thời các sai phạm trong quản lý,điều hành ngân sách đã được phát hiện và báo cáo kết quả với Quốc hội khi trình báocáo quyết toán ngân sách nhà nước năm 2009</w:t>
      </w:r>
    </w:p>
    <w:p>
      <w:r>
        <w:rPr>
          <w:b/>
          <w:i w:val="0"/>
        </w:rPr>
        <w:t>Điều 3</w:t>
      </w:r>
      <w:r>
        <w:rPr>
          <w:b/>
          <w:i w:val="0"/>
        </w:rPr>
        <w:t xml:space="preserve">. </w:t>
      </w:r>
      <w:r>
        <w:rPr>
          <w:b w:val="0"/>
          <w:i w:val="0"/>
        </w:rPr>
        <w:t>Ủy ban Tài chính - Ngân sách, Hội đồng Dân tộc và các Ủy ban khác của Quốc hội, các Đoàn đại biểu Quốc hội, các vị đại biểu Quốc hội và các cơ quan hữu quan theo chức năng và nhiệm vụ của mình, kiểm tra, giám sát việc thực hiện Nghị quyết của Quốc hội phê chuẩn quyết toán ngân sách nhà nước năm 2008./</w:t>
      </w:r>
    </w:p>
    <w:p>
      <w:r>
        <w:rPr>
          <w:b w:val="0"/>
          <w:i w:val="0"/>
        </w:rPr>
        <w:t>Nghị quyết này đã được Quốc hội nước Cộng hòa xã hội chủ nghĩa Việt Nam khóa XII, kỳ họp thứ 7 thông qua ngày 16 tháng 6 năm 2010.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val="0"/>
              </w:rPr>
              <w:t xml:space="preserve"> (Đã ký)</w:t>
            </w:r>
            <w:r>
              <w:rPr>
                <w:b w:val="0"/>
                <w:i w:val="0"/>
              </w:rPr>
              <w:br/>
            </w:r>
            <w:r>
              <w:rPr>
                <w:b/>
                <w:i w:val="0"/>
              </w:rPr>
              <w:t>Nguyễn Phú Trọng</w:t>
            </w:r>
          </w:p>
        </w:tc>
      </w:tr>
    </w:tbl>
    <w:p>
      <w:pPr>
        <w:jc w:val="center"/>
      </w:pPr>
      <w:r>
        <w:rPr>
          <w:b/>
          <w:i w:val="0"/>
        </w:rPr>
        <w:t>PHỤ LỤC SỐ 1</w:t>
      </w:r>
    </w:p>
    <w:p>
      <w:pPr>
        <w:jc w:val="center"/>
      </w:pPr>
      <w:r>
        <w:rPr>
          <w:b w:val="0"/>
          <w:i w:val="0"/>
        </w:rPr>
        <w:t>QUYẾT TOÁN THU, CHI CÂN ĐỐI NGÂN SÁCH NHÀ NƯỚC NĂM 2008</w:t>
      </w:r>
    </w:p>
    <w:p>
      <w:pPr>
        <w:jc w:val="right"/>
      </w:pPr>
      <w:r>
        <w:rPr>
          <w:b w:val="0"/>
          <w:i w:val="0"/>
        </w:rPr>
        <w:t>Đơn vị: tỷ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tiêu</w:t>
            </w:r>
          </w:p>
        </w:tc>
        <w:tc>
          <w:tcPr>
            <w:tcW w:type="dxa" w:w="1728"/>
          </w:tcPr>
          <w:p>
            <w:r>
              <w:rPr>
                <w:b w:val="0"/>
                <w:i w:val="0"/>
              </w:rPr>
              <w:br/>
            </w:r>
            <w:r>
              <w:rPr>
                <w:b/>
                <w:i w:val="0"/>
              </w:rPr>
              <w:t>Dự toán</w:t>
            </w:r>
          </w:p>
        </w:tc>
        <w:tc>
          <w:tcPr>
            <w:tcW w:type="dxa" w:w="1728"/>
          </w:tcPr>
          <w:p>
            <w:r>
              <w:rPr>
                <w:b w:val="0"/>
                <w:i w:val="0"/>
              </w:rPr>
              <w:br/>
            </w:r>
            <w:r>
              <w:rPr>
                <w:b/>
                <w:i w:val="0"/>
              </w:rPr>
              <w:t>Quyết toán</w:t>
            </w:r>
          </w:p>
        </w:tc>
        <w:tc>
          <w:tcPr>
            <w:tcW w:type="dxa" w:w="1728"/>
          </w:tcPr>
          <w:p>
            <w:r>
              <w:rPr>
                <w:b w:val="0"/>
                <w:i w:val="0"/>
              </w:rPr>
              <w:br/>
            </w:r>
            <w:r>
              <w:rPr>
                <w:b/>
                <w:i w:val="0"/>
              </w:rPr>
              <w:t>So sánh QT/DT (%)</w:t>
            </w:r>
          </w:p>
        </w:tc>
      </w:tr>
    </w:tbl>
    <w:p>
      <w:r>
        <w:rPr>
          <w:b w:val="0"/>
          <w:i w:val="0"/>
        </w:rPr>
        <w:t>Ghi chú:</w:t>
      </w:r>
    </w:p>
    <w:p>
      <w:r>
        <w:rPr>
          <w:b w:val="0"/>
          <w:i w:val="0"/>
        </w:rPr>
        <w:t>(1) Quyết toán thu, chi NSNN không bao gồm thu bổ sung từ ngân sách cấp trên và chi bổ sung cho ngân sách cấp dưới;</w:t>
      </w:r>
    </w:p>
    <w:p>
      <w:r>
        <w:rPr>
          <w:b w:val="0"/>
          <w:i w:val="0"/>
        </w:rPr>
        <w:t>(2) Bao gồm cả kinh phí thực hiện cải cách tiền lương;</w:t>
      </w:r>
    </w:p>
    <w:p>
      <w:r>
        <w:rPr>
          <w:b w:val="0"/>
          <w:i w:val="0"/>
        </w:rPr>
        <w:t>(3) và (4) Bao gồm cả chuyển nguồn thực hiện cải cách tiền lương.</w:t>
      </w:r>
    </w:p>
    <w:p>
      <w:pPr>
        <w:jc w:val="center"/>
      </w:pPr>
      <w:r>
        <w:rPr>
          <w:b/>
          <w:i w:val="0"/>
        </w:rPr>
        <w:t>PHỤ LỤC SỐ 2</w:t>
      </w:r>
    </w:p>
    <w:p>
      <w:pPr>
        <w:jc w:val="center"/>
      </w:pPr>
      <w:r>
        <w:rPr>
          <w:b w:val="0"/>
          <w:i w:val="0"/>
        </w:rPr>
        <w:t>QUYẾT TOÁN THU CÂN ĐỐI NGÂN SÁCH NHÀ NƯỚC NĂM 2008</w:t>
      </w:r>
    </w:p>
    <w:p>
      <w:pPr>
        <w:jc w:val="right"/>
      </w:pPr>
      <w:r>
        <w:rPr>
          <w:b w:val="0"/>
          <w:i w:val="0"/>
        </w:rPr>
        <w:t>Đơn vị: tỷ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w:t>
            </w:r>
          </w:p>
        </w:tc>
        <w:tc>
          <w:tcPr>
            <w:tcW w:type="dxa" w:w="1440"/>
          </w:tcPr>
          <w:p>
            <w:r>
              <w:rPr>
                <w:b w:val="0"/>
                <w:i w:val="0"/>
              </w:rPr>
              <w:br/>
            </w:r>
            <w:r>
              <w:rPr>
                <w:b/>
                <w:i w:val="0"/>
              </w:rPr>
              <w:t>Dự toán</w:t>
            </w:r>
          </w:p>
        </w:tc>
        <w:tc>
          <w:tcPr>
            <w:tcW w:type="dxa" w:w="1440"/>
          </w:tcPr>
          <w:p>
            <w:r>
              <w:rPr>
                <w:b w:val="0"/>
                <w:i w:val="0"/>
              </w:rPr>
              <w:br/>
            </w:r>
            <w:r>
              <w:rPr>
                <w:b/>
                <w:i w:val="0"/>
              </w:rPr>
              <w:t>Quyết toán</w:t>
            </w:r>
          </w:p>
        </w:tc>
        <w:tc>
          <w:tcPr>
            <w:tcW w:type="dxa" w:w="1440"/>
          </w:tcPr>
          <w:p>
            <w:r>
              <w:rPr>
                <w:b w:val="0"/>
                <w:i w:val="0"/>
              </w:rPr>
              <w:br/>
            </w:r>
            <w:r>
              <w:rPr>
                <w:b/>
                <w:i w:val="0"/>
              </w:rPr>
              <w:t>Chênh lệch</w:t>
            </w:r>
          </w:p>
        </w:tc>
        <w:tc>
          <w:tcPr>
            <w:tcW w:type="dxa" w:w="1440"/>
          </w:tcPr>
          <w:p>
            <w:r>
              <w:rPr>
                <w:b w:val="0"/>
                <w:i w:val="0"/>
              </w:rPr>
              <w:br/>
            </w:r>
            <w:r>
              <w:rPr>
                <w:b/>
                <w:i w:val="0"/>
              </w:rPr>
              <w:t>Tỷ lệ (%) QT/DT</w:t>
            </w:r>
          </w:p>
        </w:tc>
      </w:tr>
    </w:tbl>
    <w:p>
      <w:pPr>
        <w:jc w:val="center"/>
      </w:pPr>
      <w:r>
        <w:rPr>
          <w:b/>
          <w:i w:val="0"/>
        </w:rPr>
        <w:t>PHỤ LỤC SỐ 3</w:t>
      </w:r>
    </w:p>
    <w:p>
      <w:pPr>
        <w:jc w:val="center"/>
      </w:pPr>
      <w:r>
        <w:rPr>
          <w:b w:val="0"/>
          <w:i w:val="0"/>
        </w:rPr>
        <w:t>QUYẾT TOÁN CHI NSNN, CHI NSTW VÀ CHI NSĐP NĂM 2008</w:t>
      </w:r>
    </w:p>
    <w:p>
      <w:pPr>
        <w:jc w:val="right"/>
      </w:pPr>
      <w:r>
        <w:rPr>
          <w:b w:val="0"/>
          <w:i w:val="0"/>
        </w:rPr>
        <w:t>Đơn vị: tỷ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w:t>
            </w:r>
          </w:p>
        </w:tc>
        <w:tc>
          <w:tcPr>
            <w:tcW w:type="dxa" w:w="1728"/>
          </w:tcPr>
          <w:p>
            <w:r>
              <w:rPr>
                <w:b w:val="0"/>
                <w:i w:val="0"/>
              </w:rPr>
              <w:br/>
            </w:r>
            <w:r>
              <w:rPr>
                <w:b/>
                <w:i w:val="0"/>
              </w:rPr>
              <w:t>Dự toán NSNN</w:t>
            </w:r>
          </w:p>
        </w:tc>
        <w:tc>
          <w:tcPr>
            <w:tcW w:type="dxa" w:w="1728"/>
          </w:tcPr>
          <w:p>
            <w:r>
              <w:rPr>
                <w:b w:val="0"/>
                <w:i w:val="0"/>
              </w:rPr>
              <w:br/>
            </w:r>
            <w:r>
              <w:rPr>
                <w:b/>
                <w:i w:val="0"/>
              </w:rPr>
              <w:t>Quyết toán NSNN</w:t>
            </w:r>
          </w:p>
        </w:tc>
        <w:tc>
          <w:tcPr>
            <w:tcW w:type="dxa" w:w="1728"/>
          </w:tcPr>
          <w:p>
            <w:r>
              <w:rPr>
                <w:b w:val="0"/>
                <w:i w:val="0"/>
              </w:rPr>
              <w:br/>
            </w:r>
            <w:r>
              <w:rPr>
                <w:b/>
                <w:i w:val="0"/>
              </w:rPr>
              <w:t>So sánh QT/DT (%)</w:t>
            </w:r>
          </w:p>
        </w:tc>
      </w:tr>
    </w:tbl>
    <w:p>
      <w:r>
        <w:rPr>
          <w:b w:val="0"/>
          <w:i w:val="0"/>
        </w:rPr>
        <w:t>Ghi chú: (1) NSTW không bao gồm bổ sung cho NSĐP</w:t>
      </w:r>
    </w:p>
    <w:p>
      <w:pPr>
        <w:jc w:val="center"/>
      </w:pPr>
      <w:r>
        <w:rPr>
          <w:b/>
          <w:i w:val="0"/>
        </w:rPr>
        <w:t>PHỤ LỤC SỐ 4</w:t>
      </w:r>
    </w:p>
    <w:p>
      <w:pPr>
        <w:jc w:val="center"/>
      </w:pPr>
      <w:r>
        <w:rPr>
          <w:b w:val="0"/>
          <w:i w:val="0"/>
        </w:rPr>
        <w:t>QUYẾT TOÁN CHI CÂN ĐỐI NGÂN SÁCH TRUNG CỦA TỪNG BỘ, CƠ QUAN KHÁC Ở TRUNG ƯƠNG THEO TỪNG LĨNH VỰC, NHIỆM VỤ CHI NĂM 2008</w:t>
      </w:r>
    </w:p>
    <w:p>
      <w:pPr>
        <w:jc w:val="right"/>
      </w:pPr>
      <w:r>
        <w:rPr>
          <w:b w:val="0"/>
          <w:i w:val="0"/>
        </w:rPr>
        <w:t>Đơn vị: Triệu đồng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Số TT</w:t>
            </w:r>
          </w:p>
        </w:tc>
        <w:tc>
          <w:tcPr>
            <w:tcW w:type="dxa" w:w="960"/>
          </w:tcPr>
          <w:p>
            <w:r>
              <w:rPr>
                <w:b w:val="0"/>
                <w:i w:val="0"/>
              </w:rPr>
              <w:br/>
            </w:r>
            <w:r>
              <w:rPr>
                <w:b/>
                <w:i w:val="0"/>
              </w:rPr>
              <w:t>Tên đơn vị</w:t>
            </w:r>
          </w:p>
        </w:tc>
        <w:tc>
          <w:tcPr>
            <w:tcW w:type="dxa" w:w="960"/>
          </w:tcPr>
          <w:p>
            <w:r>
              <w:rPr>
                <w:b w:val="0"/>
                <w:i w:val="0"/>
              </w:rPr>
              <w:br/>
            </w:r>
            <w:r>
              <w:rPr>
                <w:b/>
                <w:i w:val="0"/>
              </w:rPr>
              <w:t>Dự toán</w:t>
            </w:r>
          </w:p>
        </w:tc>
        <w:tc>
          <w:tcPr>
            <w:tcW w:type="dxa" w:w="960"/>
          </w:tcPr>
          <w:p>
            <w:r>
              <w:rPr>
                <w:b w:val="0"/>
                <w:i w:val="0"/>
              </w:rPr>
              <w:br/>
            </w:r>
            <w:r>
              <w:rPr>
                <w:b/>
                <w:i w:val="0"/>
              </w:rPr>
              <w:t>Quyết toán</w:t>
            </w:r>
          </w:p>
        </w:tc>
        <w:tc>
          <w:tcPr>
            <w:tcW w:type="dxa" w:w="960"/>
          </w:tcPr>
          <w:p>
            <w:r>
              <w:rPr>
                <w:b w:val="0"/>
                <w:i w:val="0"/>
              </w:rPr>
              <w:br/>
            </w:r>
            <w:r>
              <w:rPr>
                <w:b/>
                <w:i w:val="0"/>
              </w:rPr>
              <w:t>I. Chi đầu tư phát triển</w:t>
            </w:r>
          </w:p>
        </w:tc>
        <w:tc>
          <w:tcPr>
            <w:tcW w:type="dxa" w:w="960"/>
          </w:tcPr>
          <w:p>
            <w:r>
              <w:rPr>
                <w:b w:val="0"/>
                <w:i w:val="0"/>
              </w:rPr>
              <w:br/>
            </w:r>
            <w:r>
              <w:rPr>
                <w:b/>
                <w:i w:val="0"/>
              </w:rPr>
              <w:t>II. Chi trả nợ và viện trợ</w:t>
            </w:r>
          </w:p>
        </w:tc>
        <w:tc>
          <w:tcPr>
            <w:tcW w:type="dxa" w:w="960"/>
          </w:tcPr>
          <w:p>
            <w:r>
              <w:rPr>
                <w:b w:val="0"/>
                <w:i w:val="0"/>
              </w:rPr>
              <w:br/>
            </w:r>
            <w:r>
              <w:rPr>
                <w:b w:val="0"/>
                <w:i w:val="0"/>
              </w:rPr>
              <w:t xml:space="preserve">III. </w:t>
            </w:r>
            <w:r>
              <w:rPr>
                <w:b/>
                <w:i w:val="0"/>
              </w:rPr>
              <w:t>Chi thường xuyên</w:t>
            </w:r>
          </w:p>
        </w:tc>
        <w:tc>
          <w:tcPr>
            <w:tcW w:type="dxa" w:w="960"/>
          </w:tcPr>
          <w:p>
            <w:r>
              <w:rPr>
                <w:b w:val="0"/>
                <w:i w:val="0"/>
              </w:rPr>
              <w:br/>
            </w:r>
            <w:r>
              <w:rPr>
                <w:b/>
                <w:i w:val="0"/>
              </w:rPr>
              <w:t>IV. Chi các chương trình MTQG, CT 135, DA trồng mới 5 triệu ha rừng</w:t>
            </w:r>
          </w:p>
        </w:tc>
        <w:tc>
          <w:tcPr>
            <w:tcW w:type="dxa" w:w="960"/>
          </w:tcPr>
          <w:p>
            <w:r>
              <w:rPr>
                <w:b w:val="0"/>
                <w:i w:val="0"/>
              </w:rPr>
              <w:br/>
            </w:r>
            <w:r>
              <w:rPr>
                <w:b/>
                <w:i w:val="0"/>
              </w:rPr>
              <w:t>Quyết toán so với dự toán(%)</w:t>
            </w:r>
          </w:p>
        </w:tc>
      </w:tr>
    </w:tbl>
    <w:p>
      <w:r>
        <w:rPr>
          <w:b w:val="0"/>
          <w:i w:val="0"/>
        </w:rPr>
        <w:t>Ghi chú: (1) số quyết toán phản ánh vào từng lĩnh vực chi.</w:t>
      </w:r>
    </w:p>
    <w:p>
      <w:pPr>
        <w:jc w:val="center"/>
      </w:pPr>
      <w:r>
        <w:rPr>
          <w:b/>
          <w:i w:val="0"/>
        </w:rPr>
        <w:t>PHỤ LỤC SỐ 5</w:t>
      </w:r>
    </w:p>
    <w:p>
      <w:pPr>
        <w:jc w:val="center"/>
      </w:pPr>
      <w:r>
        <w:rPr>
          <w:b w:val="0"/>
          <w:i w:val="0"/>
        </w:rPr>
        <w:t>QUYẾT TOÁN CHI BỔ SUNG TỪ NSTW CHO NGÂN SÁCH TỪNG TỈNH, THÀNH PHỐ TRỰC THUỘC TW NĂM 2008</w:t>
      </w:r>
    </w:p>
    <w:p>
      <w:pPr>
        <w:jc w:val="right"/>
      </w:pPr>
      <w:r>
        <w:rPr>
          <w:b w:val="0"/>
          <w:i w:val="0"/>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tỉnh thành phố trực thuộc Trung ương</w:t>
            </w:r>
          </w:p>
        </w:tc>
        <w:tc>
          <w:tcPr>
            <w:tcW w:type="dxa" w:w="1728"/>
          </w:tcPr>
          <w:p>
            <w:r>
              <w:rPr>
                <w:b w:val="0"/>
                <w:i w:val="0"/>
              </w:rPr>
              <w:br/>
            </w:r>
            <w:r>
              <w:rPr>
                <w:b/>
                <w:i w:val="0"/>
              </w:rPr>
              <w:t>Dự toán</w:t>
            </w:r>
          </w:p>
        </w:tc>
        <w:tc>
          <w:tcPr>
            <w:tcW w:type="dxa" w:w="1728"/>
          </w:tcPr>
          <w:p>
            <w:r>
              <w:rPr>
                <w:b w:val="0"/>
                <w:i w:val="0"/>
              </w:rPr>
              <w:br/>
            </w:r>
            <w:r>
              <w:rPr>
                <w:b/>
                <w:i w:val="0"/>
              </w:rPr>
              <w:t>Quyết toán</w:t>
            </w:r>
          </w:p>
        </w:tc>
        <w:tc>
          <w:tcPr>
            <w:tcW w:type="dxa" w:w="1728"/>
          </w:tcPr>
          <w:p>
            <w:r>
              <w:rPr>
                <w:b w:val="0"/>
                <w:i w:val="0"/>
              </w:rPr>
              <w:br/>
            </w:r>
            <w:r>
              <w:rPr>
                <w:b/>
                <w:i w:val="0"/>
              </w:rPr>
              <w:t>So sánh QT/DT</w:t>
            </w:r>
            <w:r>
              <w:br/>
            </w:r>
            <w:r>
              <w:rPr>
                <w:b/>
                <w:i w:val="0"/>
              </w:rPr>
              <w:br/>
              <w:t xml:space="preserve">          (%)</w:t>
            </w:r>
          </w:p>
        </w:tc>
      </w:tr>
    </w:tbl>
    <w:p>
      <w:r>
        <w:rPr>
          <w:b w:val="0"/>
          <w:i w:val="0"/>
        </w:rPr>
        <w:t>Ghi chú: (1) Điều chỉnh giảm so dự toán đầu năm 463.722 triệu đồng và tăng điều tiết cho Hà Nội do sáp nhập:</w:t>
      </w:r>
    </w:p>
    <w:p>
      <w:r>
        <w:rPr>
          <w:b w:val="0"/>
          <w:i w:val="0"/>
        </w:rPr>
        <w:t>- Hà Tây về Hà Nội 450.761 triệu đồng;</w:t>
      </w:r>
    </w:p>
    <w:p>
      <w:r>
        <w:rPr>
          <w:b w:val="0"/>
          <w:i w:val="0"/>
        </w:rPr>
        <w:t>- Hòa Bình (4 xã) về Hà Nội 12.961 triệu 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