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44/2022/QĐ-UBND Về giao tỷ lệ phần trăm (%) phân chia các khoản thu giữa các cấp ngân sách ở Thành phố Hồ Chí Minh giai đoạn 2023-2025</w:t>
      </w:r>
    </w:p>
    <w:p>
      <w:r>
        <w:rPr>
          <w:b w:val="0"/>
          <w:i w:val="0"/>
        </w:rPr>
        <w:br/>
      </w:r>
      <w:r>
        <w:rPr>
          <w:b w:val="0"/>
          <w:i w:val="0"/>
        </w:rPr>
        <w:br/>
      </w:r>
      <w:r>
        <w:rPr>
          <w:b w:val="0"/>
          <w:i w:val="0"/>
        </w:rPr>
        <w:br/>
      </w:r>
      <w:r>
        <w:rPr>
          <w:b w:val="0"/>
          <w:i w:val="0"/>
        </w:rPr>
        <w:br/>
      </w:r>
      <w:r>
        <w:rPr>
          <w:b w:val="0"/>
          <w:i w:val="0"/>
        </w:rPr>
        <w:br/>
      </w:r>
      <w:r>
        <w:rPr>
          <w:b/>
          <w:i w:val="0"/>
        </w:rPr>
        <w:t>ỦY BAN NHÂN DÂN</w:t>
      </w:r>
      <w:r>
        <w:rPr>
          <w:b w:val="0"/>
          <w:i w:val="0"/>
        </w:rPr>
        <w:br/>
      </w:r>
      <w:r>
        <w:rPr>
          <w:b/>
          <w:i w:val="0"/>
        </w:rPr>
        <w:t>THÀNH PHỐ HỒ CHÍ MINH</w:t>
      </w:r>
      <w:r>
        <w:rPr>
          <w:b w:val="0"/>
          <w:i w:val="0"/>
        </w:rPr>
        <w:br/>
      </w:r>
      <w:r>
        <w:rPr>
          <w:b w:val="0"/>
          <w:i w:val="0"/>
        </w:rPr>
        <w:br/>
      </w:r>
      <w:r>
        <w:rPr>
          <w:b/>
          <w:i w:val="0"/>
        </w:rPr>
        <w:t>CỘNG HÒA XÃ HỘI CHỦ NGHĨA VIỆT NAM</w:t>
      </w:r>
      <w:r>
        <w:rPr>
          <w:b w:val="0"/>
          <w:i w:val="0"/>
        </w:rPr>
        <w:br/>
      </w:r>
      <w:r>
        <w:rPr>
          <w:b/>
          <w:i w:val="0"/>
        </w:rPr>
        <w:t>Độc lập - Tự do - Hạnh phúc</w:t>
      </w:r>
      <w:r>
        <w:rPr>
          <w:b w:val="0"/>
          <w:i w:val="0"/>
        </w:rPr>
        <w:br/>
      </w:r>
      <w:r>
        <w:rPr>
          <w:b w:val="0"/>
          <w:i w:val="0"/>
        </w:rPr>
        <w:br/>
      </w:r>
      <w:r>
        <w:rPr>
          <w:b w:val="0"/>
          <w:i w:val="0"/>
        </w:rPr>
        <w:br/>
      </w:r>
      <w:r>
        <w:rPr>
          <w:b w:val="0"/>
          <w:i w:val="0"/>
        </w:rPr>
        <w:br/>
      </w:r>
      <w:r>
        <w:rPr>
          <w:b/>
          <w:i w:val="0"/>
        </w:rPr>
        <w:t>Số: 44/2022/QĐ-UBND</w:t>
      </w:r>
      <w:r>
        <w:rPr>
          <w:b w:val="0"/>
          <w:i w:val="0"/>
        </w:rPr>
        <w:br/>
      </w:r>
      <w:r>
        <w:rPr>
          <w:b w:val="0"/>
          <w:i w:val="0"/>
        </w:rPr>
        <w:br/>
      </w:r>
      <w:r>
        <w:rPr>
          <w:b w:val="0"/>
          <w:i/>
        </w:rPr>
        <w:t>Thành phố Hồ Chí Minh, ngày 12 tháng 12 năm 2022</w:t>
      </w:r>
      <w:r>
        <w:rPr>
          <w:b w:val="0"/>
          <w:i w:val="0"/>
        </w:rPr>
        <w:br/>
      </w:r>
      <w:r>
        <w:rPr>
          <w:b w:val="0"/>
          <w:i w:val="0"/>
        </w:rPr>
        <w:br/>
      </w:r>
      <w:r>
        <w:rPr>
          <w:b w:val="0"/>
          <w:i w:val="0"/>
        </w:rPr>
        <w:br/>
      </w:r>
      <w:r>
        <w:rPr>
          <w:b w:val="0"/>
          <w:i w:val="0"/>
        </w:rPr>
        <w:br/>
      </w:r>
      <w:r>
        <w:rPr>
          <w:b/>
          <w:i w:val="0"/>
        </w:rPr>
        <w:t>QUYẾT ĐỊNH</w:t>
      </w:r>
      <w:r>
        <w:rPr>
          <w:b w:val="0"/>
          <w:i w:val="0"/>
        </w:rPr>
        <w:br/>
      </w:r>
      <w:r>
        <w:rPr>
          <w:b/>
          <w:i w:val="0"/>
        </w:rPr>
        <w:t xml:space="preserve">Về giao tỷ lệ phần trăm (%) phân chia các khoản thu giữa các cấp </w:t>
      </w:r>
      <w:r>
        <w:rPr>
          <w:b w:val="0"/>
          <w:i w:val="0"/>
        </w:rPr>
        <w:br/>
      </w:r>
      <w:r>
        <w:rPr>
          <w:b/>
          <w:i w:val="0"/>
        </w:rPr>
        <w:t>ngân sách ở Thành phố Hồ Chí Minh giai đoạn 2023-2025</w:t>
      </w:r>
      <w:r>
        <w:rPr>
          <w:b w:val="0"/>
          <w:i w:val="0"/>
        </w:rPr>
        <w:br/>
      </w:r>
      <w:r>
        <w:rPr>
          <w:b/>
          <w:i w:val="0"/>
        </w:rPr>
        <w:t xml:space="preserve">ỦY BAN NHÂN DÂN THÀNH PHỐ HỒ CHÍ MINH </w:t>
      </w:r>
      <w:r>
        <w:rPr>
          <w:b w:val="0"/>
          <w:i w:val="0"/>
        </w:rPr>
        <w:br/>
      </w:r>
      <w:r>
        <w:rPr>
          <w:b w:val="0"/>
          <w:i/>
        </w:rPr>
        <w:t>Căn cứ Luật Tổ chức chính quyền địa phương ngày 19 tháng 6 năm 2015; Luật sửa đổi, bổ sung một số điều của Luật Tổ chức chính phủ và Luật Tổ chức chính quyền địa phương ngày 22 tháng 11 năm 2019;</w:t>
      </w:r>
      <w:r>
        <w:rPr>
          <w:b w:val="0"/>
          <w:i w:val="0"/>
        </w:rPr>
        <w:br/>
      </w:r>
      <w:r>
        <w:rPr>
          <w:b w:val="0"/>
          <w:i/>
        </w:rPr>
        <w:t>Căn cứ Luật Ban hành văn bản quy phạm pháp luật ngày 22 tháng 6 năm 2015; Luật sửa đổi, bổ sung một số điều của Luật Ban hành văn bản quy phạm pháp luật ngày 18 tháng 6 năm 2020;</w:t>
      </w:r>
      <w:r>
        <w:rPr>
          <w:b w:val="0"/>
          <w:i w:val="0"/>
        </w:rPr>
        <w:br/>
      </w:r>
      <w:r>
        <w:rPr>
          <w:b w:val="0"/>
          <w:i/>
        </w:rPr>
        <w:t>Căn cứ Luật Ngân sách Nhà nước ngày 25 tháng 6 năm 2015;</w:t>
      </w:r>
      <w:r>
        <w:rPr>
          <w:b w:val="0"/>
          <w:i w:val="0"/>
        </w:rPr>
        <w:br/>
      </w:r>
      <w:r>
        <w:rPr>
          <w:b w:val="0"/>
          <w:i/>
        </w:rPr>
        <w:t>Căn cứ Nghị quyết số 131/2020/QH14 ngày 16 tháng 11 năm 2020 của Quốc hội khóa XIV về tổ chức chính quyền đô thị tại Thành phố Hồ Chí Minh;</w:t>
      </w:r>
      <w:r>
        <w:rPr>
          <w:b w:val="0"/>
          <w:i w:val="0"/>
        </w:rPr>
        <w:br/>
      </w:r>
      <w:r>
        <w:rPr>
          <w:b w:val="0"/>
          <w:i/>
        </w:rPr>
        <w:t xml:space="preserve">Căn cứ Nghị quyết số 1111/NQ-BTVQH14 ngày 09 tháng 12 năm 2020 của Ủy ban Thường vụ Quốc hội về việc sắp xếp các đơn vị hành chính cấp huyện, cấp xã và thành lập thành phố Thủ Đức thuộc Thành phố Hồ Chí Minh; </w:t>
      </w:r>
      <w:r>
        <w:rPr>
          <w:b w:val="0"/>
          <w:i w:val="0"/>
        </w:rPr>
        <w:br/>
      </w:r>
      <w:r>
        <w:rPr>
          <w:b w:val="0"/>
          <w:i/>
        </w:rPr>
        <w:t>Căn cứ Nghị định số 163/2016/NĐ-CP ngày 21 tháng 12 năm 2016 của Chính phủ về quy định chi tiết thi hành một số điều về Luật Ngân sách Nhà nước;</w:t>
      </w:r>
      <w:r>
        <w:rPr>
          <w:b w:val="0"/>
          <w:i w:val="0"/>
        </w:rPr>
        <w:br/>
      </w:r>
      <w:r>
        <w:rPr>
          <w:b w:val="0"/>
          <w:i/>
        </w:rPr>
        <w:t>Căn cứ Thông tư số 342/2016/TT-BTC ngày 30 tháng 12 năm 2016 của Bộ trưởng Bộ Tài chính quy định chi tiết và hướng dẫn thi hành một số điều của Nghị định số 163/2016/NĐ-CP ngày 21 tháng 12 năm 2016 của Chính phủ quy định chi tiết thi hành một số điều của Luật Ngân sách Nhà nước;</w:t>
      </w:r>
      <w:r>
        <w:rPr>
          <w:b w:val="0"/>
          <w:i w:val="0"/>
        </w:rPr>
        <w:br/>
      </w:r>
      <w:r>
        <w:rPr>
          <w:b w:val="0"/>
          <w:i/>
        </w:rPr>
        <w:t>Căn cứ Thông tư số 47/2022/TT-BTC ngày 29 tháng 7 năm 2022 của Bộ trưởng Bộ Tài chính về hướng dẫn xây dựng dự toán ngân sách nhà nước năm 2023, kế hoạch tài chính - ngân sách nhà nước 03 năm 2023 - 2025;</w:t>
      </w:r>
      <w:r>
        <w:rPr>
          <w:b w:val="0"/>
          <w:i w:val="0"/>
        </w:rPr>
        <w:br/>
      </w:r>
      <w:r>
        <w:rPr>
          <w:b w:val="0"/>
          <w:i/>
        </w:rPr>
        <w:t xml:space="preserve">Căn cứ Nghị quyết số 70/2022/QH15 ngày 11 tháng 11 năm 2022 của Quốc hội về phân bổ ngân sách trung ương năm 2023; </w:t>
      </w:r>
      <w:r>
        <w:rPr>
          <w:b w:val="0"/>
          <w:i w:val="0"/>
        </w:rPr>
        <w:br/>
      </w:r>
      <w:r>
        <w:rPr>
          <w:b w:val="0"/>
          <w:i/>
        </w:rPr>
        <w:t>Thực hiện Quyết định số 1506/QĐ-TTg ngày 02 tháng 12 năm 2022 của Thủ tướng Chính phủ về việc giao dự toán ngân sách Nhà nước năm 2023;</w:t>
      </w:r>
      <w:r>
        <w:rPr>
          <w:b w:val="0"/>
          <w:i w:val="0"/>
        </w:rPr>
        <w:br/>
      </w:r>
      <w:r>
        <w:rPr>
          <w:b w:val="0"/>
          <w:i/>
        </w:rPr>
        <w:t>Thực hiện Quyết định số 2570/QĐ-BTC ngày 07 tháng 12 năm 2022 của Bộ Tài chính về việc giao dự toán thu, chi ngân sách Nhà nước năm 2023;</w:t>
      </w:r>
      <w:r>
        <w:rPr>
          <w:b w:val="0"/>
          <w:i w:val="0"/>
        </w:rPr>
        <w:br/>
      </w:r>
      <w:r>
        <w:rPr>
          <w:b w:val="0"/>
          <w:i/>
        </w:rPr>
        <w:t>Căn cứ Nghị quyết số 18/2022/NQ-HĐND ngày 09 tháng 12 năm 2022 của Hội đồng nhân dân Thành phố về tỷ lệ phần trăm (%) phân chia các khoản thu giữa các cấp ngân sách ở Thành phố Hồ Chí Minh giai đoạn 2023-2025;</w:t>
      </w:r>
      <w:r>
        <w:rPr>
          <w:b w:val="0"/>
          <w:i w:val="0"/>
        </w:rPr>
        <w:br/>
      </w:r>
      <w:r>
        <w:rPr>
          <w:b w:val="0"/>
          <w:i/>
        </w:rPr>
        <w:t>Xét đề nghị của Giám đốc Sở Tài chính tại Tờ trình số 8693/STC-NS ngày 09 tháng 12 năm 2022 về dự thảo Quyết định về giao tỷ lệ phần trăm (%) phân chia các khoản thu giữa các cấp ngân sách ở Thành phố Hồ Chí Minh giai đoạn 2023-2025 và ý kiến thống nhất của các thành viên Ủy ban nhân dân Thành phố,</w:t>
      </w:r>
      <w:r>
        <w:rPr>
          <w:b w:val="0"/>
          <w:i w:val="0"/>
        </w:rPr>
        <w:br/>
      </w:r>
      <w:r>
        <w:rPr>
          <w:b/>
          <w:i w:val="0"/>
        </w:rPr>
        <w:t>QUYẾT ĐỊNH:</w:t>
      </w:r>
      <w:r>
        <w:rPr>
          <w:b w:val="0"/>
          <w:i w:val="0"/>
        </w:rPr>
        <w:br/>
      </w:r>
      <w:r>
        <w:rPr>
          <w:b/>
          <w:i w:val="0"/>
        </w:rPr>
        <w:t xml:space="preserve">Điều 1. </w:t>
      </w:r>
      <w:r>
        <w:rPr>
          <w:b w:val="0"/>
          <w:i w:val="0"/>
        </w:rPr>
        <w:t>Giao tỷ lệ phần trăm (%) phân chia các khoản thu giữa ngân sách cấp Thành phố Hồ Chí Minh, ngân sách cấp thành phố Thủ Đức và các huyện, ngân sách cấp xã theo Phụ lục ban hành kèm theo Nghị quyết số 18/2022/NQ-HĐND ngày 09 tháng 12 năm 2022 của Hội đồng nhân dân Thành phố.</w:t>
      </w:r>
      <w:r>
        <w:rPr>
          <w:b w:val="0"/>
          <w:i w:val="0"/>
        </w:rPr>
        <w:br/>
      </w:r>
      <w:r>
        <w:rPr>
          <w:b/>
          <w:i w:val="0"/>
        </w:rPr>
        <w:t>Điều 2. Tổ chức thực hiện</w:t>
      </w:r>
      <w:r>
        <w:rPr>
          <w:b w:val="0"/>
          <w:i w:val="0"/>
        </w:rPr>
        <w:br/>
      </w:r>
      <w:r>
        <w:rPr>
          <w:b/>
          <w:i w:val="0"/>
        </w:rPr>
        <w:t>1.</w:t>
      </w:r>
      <w:r>
        <w:rPr>
          <w:b w:val="0"/>
          <w:i w:val="0"/>
        </w:rPr>
        <w:t xml:space="preserve"> Căn cứ Điều 1 Quyết định này, Ủy ban nhân dân thành phố Thủ Đức và Ủy ban nhân dân huyện:</w:t>
      </w:r>
      <w:r>
        <w:rPr>
          <w:b w:val="0"/>
          <w:i w:val="0"/>
        </w:rPr>
        <w:br/>
      </w:r>
      <w:r>
        <w:rPr>
          <w:b w:val="0"/>
          <w:i w:val="0"/>
        </w:rPr>
        <w:t>a) Phân bổ, giao dự toán ngân sách hàng năm cho ngân sách cấp dưới và các đơn vị trực thuộc theo đúng quy định của Luật Ngân sách Nhà nước năm 2015.</w:t>
      </w:r>
      <w:r>
        <w:rPr>
          <w:b w:val="0"/>
          <w:i w:val="0"/>
        </w:rPr>
        <w:br/>
      </w:r>
      <w:r>
        <w:rPr>
          <w:b w:val="0"/>
          <w:i w:val="0"/>
        </w:rPr>
        <w:t>b) Tổ chức quản lý, điều hành ngân sách các cấp theo đúng quy định, đảm bảo hoàn thành các nhiệm vụ chính trị được giao tại địa phương.</w:t>
      </w:r>
      <w:r>
        <w:rPr>
          <w:b w:val="0"/>
          <w:i w:val="0"/>
        </w:rPr>
        <w:br/>
      </w:r>
      <w:r>
        <w:rPr>
          <w:b/>
          <w:i w:val="0"/>
        </w:rPr>
        <w:t xml:space="preserve">2. </w:t>
      </w:r>
      <w:r>
        <w:rPr>
          <w:b w:val="0"/>
          <w:i w:val="0"/>
        </w:rPr>
        <w:t>Ủy ban nhân dân quận phối hợp với cơ quan thuế trên địa bàn thực hiện tốt công tác quản lý thu ngân sách nhà nước khi chuyển sang thực hiện mô hình chính quyền đô thị.</w:t>
      </w:r>
      <w:r>
        <w:rPr>
          <w:b w:val="0"/>
          <w:i w:val="0"/>
        </w:rPr>
        <w:br/>
      </w:r>
      <w:r>
        <w:rPr>
          <w:b/>
          <w:i w:val="0"/>
        </w:rPr>
        <w:t>3.</w:t>
      </w:r>
      <w:r>
        <w:rPr>
          <w:b w:val="0"/>
          <w:i w:val="0"/>
        </w:rPr>
        <w:t xml:space="preserve"> Trong quá trình điều hành ngân sách, trường hợp quy định pháp lý về tỷ lệ phần trăm (%) phân chia giữa các cấp ngân sách ở địa phương có thay đổi; chính sách có liên quan thay đổi tác động lớn đến nguồn thu, chi ngân sách Thành phố thì báo cáo, tham mưu Ủy ban nhân dân Thành phố Hồ Chí Minh trình Hội đồng nhân dân Thành phố Hồ Chí Minh xem xét, điều chỉnh quy định tỷ lệ phần trăm (%) phân chia các khoản thu giữa ngân sách các cấp ở Thành phố Hồ Chí Minh.</w:t>
      </w:r>
      <w:r>
        <w:rPr>
          <w:b w:val="0"/>
          <w:i w:val="0"/>
        </w:rPr>
        <w:br/>
      </w:r>
      <w:r>
        <w:rPr>
          <w:b/>
          <w:i w:val="0"/>
        </w:rPr>
        <w:t>Điều 3.</w:t>
      </w:r>
      <w:r>
        <w:rPr>
          <w:b w:val="0"/>
          <w:i w:val="0"/>
        </w:rPr>
        <w:t xml:space="preserve"> </w:t>
      </w:r>
      <w:r>
        <w:rPr>
          <w:b/>
          <w:i w:val="0"/>
        </w:rPr>
        <w:t>Hiệu lực thi hành</w:t>
      </w:r>
      <w:r>
        <w:rPr>
          <w:b w:val="0"/>
          <w:i w:val="0"/>
        </w:rPr>
        <w:br/>
      </w:r>
      <w:r>
        <w:rPr>
          <w:b w:val="0"/>
          <w:i w:val="0"/>
        </w:rPr>
        <w:t>Quyết định này có hiệu lực thi hành kể từ ngày 22 tháng 12 năm 2022.</w:t>
      </w:r>
      <w:r>
        <w:rPr>
          <w:b w:val="0"/>
          <w:i w:val="0"/>
        </w:rPr>
        <w:br/>
      </w:r>
      <w:r>
        <w:rPr>
          <w:b w:val="0"/>
          <w:i w:val="0"/>
        </w:rPr>
        <w:t>Chánh Văn phòng Ủy ban nhân dân Thành phố, Giám đốc Sở Tài chính, Giám đốc Kho bạc nhà nước Thành phố, Cục trưởng Cục thuế Thành phố, Cục trưởng Cục Hải quan Thành phố, Tổng Giám đốc Công ty TNHH một thành viên Xổ số kiến thiết Thành phố, Thủ trưởng các cơ quan chuyên môn thuộc Ủy ban nhân dân Thành phố, Chủ tịch Ủy ban nhân dân thành phố Thủ Đức, quận, huyện và các đơn vị có liên quan chịu trách nhiệm thi hành Quyết định này./.</w:t>
      </w:r>
      <w:r>
        <w:rPr>
          <w:b w:val="0"/>
          <w:i w:val="0"/>
        </w:rPr>
        <w:br/>
      </w:r>
      <w:r>
        <w:rPr>
          <w:b w:val="0"/>
          <w:i w:val="0"/>
        </w:rPr>
        <w:br/>
      </w:r>
      <w:r>
        <w:rPr>
          <w:b w:val="0"/>
          <w:i w:val="0"/>
        </w:rPr>
        <w:br/>
      </w:r>
      <w:r>
        <w:rPr>
          <w:b w:val="0"/>
          <w:i w:val="0"/>
        </w:rPr>
        <w:br/>
      </w:r>
      <w:r>
        <w:rPr>
          <w:b w:val="0"/>
          <w:i w:val="0"/>
        </w:rPr>
        <w:br/>
      </w:r>
      <w:r>
        <w:rPr>
          <w:b/>
          <w:i/>
        </w:rPr>
        <w:t>Nơi nhận:</w:t>
      </w:r>
      <w:r>
        <w:rPr>
          <w:b w:val="0"/>
          <w:i w:val="0"/>
        </w:rPr>
        <w:br/>
      </w:r>
      <w:r>
        <w:rPr>
          <w:b w:val="0"/>
          <w:i w:val="0"/>
        </w:rPr>
        <w:t>- Như Điều 3;</w:t>
      </w:r>
      <w:r>
        <w:rPr>
          <w:b w:val="0"/>
          <w:i w:val="0"/>
        </w:rPr>
        <w:br/>
      </w:r>
      <w:r>
        <w:rPr>
          <w:b w:val="0"/>
          <w:i w:val="0"/>
        </w:rPr>
        <w:t>- Bộ Tài chính ;</w:t>
      </w:r>
      <w:r>
        <w:rPr>
          <w:b w:val="0"/>
          <w:i w:val="0"/>
        </w:rPr>
        <w:br/>
      </w:r>
      <w:r>
        <w:rPr>
          <w:b w:val="0"/>
          <w:i w:val="0"/>
        </w:rPr>
        <w:t>- Cục Kiểm tra văn bản-Bộ Tư pháp;</w:t>
      </w:r>
      <w:r>
        <w:rPr>
          <w:b w:val="0"/>
          <w:i w:val="0"/>
        </w:rPr>
        <w:br/>
      </w:r>
      <w:r>
        <w:rPr>
          <w:b w:val="0"/>
          <w:i w:val="0"/>
        </w:rPr>
        <w:t>- Thường trực Thành ủy;</w:t>
      </w:r>
      <w:r>
        <w:rPr>
          <w:b w:val="0"/>
          <w:i w:val="0"/>
        </w:rPr>
        <w:br/>
      </w:r>
      <w:r>
        <w:rPr>
          <w:b w:val="0"/>
          <w:i w:val="0"/>
        </w:rPr>
        <w:t>- Thường trực Hội đồng nhân dân Thành phố;</w:t>
      </w:r>
      <w:r>
        <w:rPr>
          <w:b w:val="0"/>
          <w:i w:val="0"/>
        </w:rPr>
        <w:br/>
      </w:r>
      <w:r>
        <w:rPr>
          <w:b w:val="0"/>
          <w:i w:val="0"/>
        </w:rPr>
        <w:t>- Thường trực Ủy ban nhân dân Thành phố;</w:t>
      </w:r>
      <w:r>
        <w:rPr>
          <w:b w:val="0"/>
          <w:i w:val="0"/>
        </w:rPr>
        <w:br/>
      </w:r>
      <w:r>
        <w:rPr>
          <w:b w:val="0"/>
          <w:i w:val="0"/>
        </w:rPr>
        <w:t>- Ban Thường trực UBMTTQ Việt Nam Thành phố;</w:t>
      </w:r>
      <w:r>
        <w:rPr>
          <w:b w:val="0"/>
          <w:i w:val="0"/>
        </w:rPr>
        <w:br/>
      </w:r>
      <w:r>
        <w:rPr>
          <w:b w:val="0"/>
          <w:i w:val="0"/>
        </w:rPr>
        <w:t>- Đoàn đại biểu Quốc hội Thành phố;</w:t>
      </w:r>
      <w:r>
        <w:rPr>
          <w:b w:val="0"/>
          <w:i w:val="0"/>
        </w:rPr>
        <w:br/>
      </w:r>
      <w:r>
        <w:rPr>
          <w:b w:val="0"/>
          <w:i w:val="0"/>
        </w:rPr>
        <w:t>- Đại biểu Hội đồng nhân dân Thành phố;</w:t>
      </w:r>
      <w:r>
        <w:rPr>
          <w:b w:val="0"/>
          <w:i w:val="0"/>
        </w:rPr>
        <w:br/>
      </w:r>
      <w:r>
        <w:rPr>
          <w:b w:val="0"/>
          <w:i w:val="0"/>
        </w:rPr>
        <w:t>- Văn phòng Thành ủy;</w:t>
      </w:r>
      <w:r>
        <w:rPr>
          <w:b w:val="0"/>
          <w:i w:val="0"/>
        </w:rPr>
        <w:br/>
      </w:r>
      <w:r>
        <w:rPr>
          <w:b w:val="0"/>
          <w:i w:val="0"/>
        </w:rPr>
        <w:t>- Văn phòng Đoàn ĐBQH và HĐND TP: CPVP;</w:t>
      </w:r>
      <w:r>
        <w:rPr>
          <w:b w:val="0"/>
          <w:i w:val="0"/>
        </w:rPr>
        <w:br/>
      </w:r>
      <w:r>
        <w:rPr>
          <w:b w:val="0"/>
          <w:i w:val="0"/>
        </w:rPr>
        <w:t>- VP UBND TP: CPVP; Phòng HC,TC-TM-DV,THKH;</w:t>
      </w:r>
      <w:r>
        <w:rPr>
          <w:b w:val="0"/>
          <w:i w:val="0"/>
        </w:rPr>
        <w:br/>
      </w:r>
      <w:r>
        <w:rPr>
          <w:b w:val="0"/>
          <w:i w:val="0"/>
        </w:rPr>
        <w:t>- Thủ trưởng các Sở, ban, ngành Thành phố;</w:t>
      </w:r>
      <w:r>
        <w:rPr>
          <w:b w:val="0"/>
          <w:i w:val="0"/>
        </w:rPr>
        <w:br/>
      </w:r>
      <w:r>
        <w:rPr>
          <w:b w:val="0"/>
          <w:i w:val="0"/>
        </w:rPr>
        <w:t>- Chủ tịch Ủy ban nhân dân các quận, huyện;</w:t>
      </w:r>
      <w:r>
        <w:rPr>
          <w:b w:val="0"/>
          <w:i w:val="0"/>
        </w:rPr>
        <w:br/>
      </w:r>
      <w:r>
        <w:rPr>
          <w:b w:val="0"/>
          <w:i w:val="0"/>
        </w:rPr>
        <w:t>- Trung tâm công báo;</w:t>
      </w:r>
      <w:r>
        <w:rPr>
          <w:b w:val="0"/>
          <w:i w:val="0"/>
        </w:rPr>
        <w:br/>
      </w:r>
      <w:r>
        <w:rPr>
          <w:b w:val="0"/>
          <w:i w:val="0"/>
        </w:rPr>
        <w:t>- Lưu: VT, (KT/BQH).</w:t>
      </w:r>
      <w:r>
        <w:rPr>
          <w:b w:val="0"/>
          <w:i w:val="0"/>
        </w:rPr>
        <w:br/>
      </w:r>
      <w:r>
        <w:rPr>
          <w:b w:val="0"/>
          <w:i w:val="0"/>
        </w:rPr>
        <w:br/>
      </w:r>
      <w:r>
        <w:rPr>
          <w:b/>
          <w:i w:val="0"/>
        </w:rPr>
        <w:t>TM. ỦY BAN NHÂN DÂN</w:t>
      </w:r>
      <w:r>
        <w:rPr>
          <w:b w:val="0"/>
          <w:i w:val="0"/>
        </w:rPr>
        <w:br/>
      </w:r>
      <w:r>
        <w:rPr>
          <w:b/>
          <w:i w:val="0"/>
        </w:rPr>
        <w:t>CHỦ TỊCH</w:t>
      </w:r>
      <w:r>
        <w:rPr>
          <w:b w:val="0"/>
          <w:i w:val="0"/>
        </w:rPr>
        <w:br/>
      </w:r>
      <w:r>
        <w:rPr>
          <w:b/>
          <w:i/>
        </w:rPr>
        <w:t>(đã ký)</w:t>
      </w:r>
      <w:r>
        <w:rPr>
          <w:b w:val="0"/>
          <w:i w:val="0"/>
        </w:rPr>
        <w:br/>
      </w:r>
      <w:r>
        <w:rPr>
          <w:b/>
          <w:i w:val="0"/>
        </w:rPr>
        <w:t>Phan Văn Mãi</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rPr>
                <w:b w:val="0"/>
                <w:i w:val="0"/>
              </w:rPr>
              <w:br/>
            </w:r>
            <w:r>
              <w:rPr>
                <w:b/>
                <w:i w:val="0"/>
              </w:rPr>
              <w:t>THÀNH PHỐ HỒ CHÍ MINH</w:t>
            </w:r>
          </w:p>
        </w:tc>
        <w:tc>
          <w:tcPr>
            <w:tcW w:type="dxa" w:w="4320"/>
          </w:tcPr>
          <w:p>
            <w:r>
              <w:rPr>
                <w:b w:val="0"/>
                <w:i w:val="0"/>
              </w:rPr>
              <w:br/>
            </w:r>
            <w:r>
              <w:rPr>
                <w:b/>
                <w:i w:val="0"/>
              </w:rPr>
              <w:t>CỘNG HÒA XÃ HỘI CHỦ NGHĨA VIỆT NAM</w:t>
            </w:r>
            <w:r>
              <w:rPr>
                <w:b w:val="0"/>
                <w:i w:val="0"/>
              </w:rPr>
              <w:br/>
            </w:r>
            <w:r>
              <w:rPr>
                <w:b/>
                <w:i w:val="0"/>
              </w:rPr>
              <w:t>Độc lập - Tự do - Hạnh phúc</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rPr>
                <w:b w:val="0"/>
                <w:i w:val="0"/>
              </w:rPr>
              <w:br/>
            </w:r>
            <w:r>
              <w:rPr>
                <w:b w:val="0"/>
                <w:i w:val="0"/>
              </w:rPr>
              <w:t>- Như Điều 3;</w:t>
            </w:r>
            <w:r>
              <w:rPr>
                <w:b w:val="0"/>
                <w:i w:val="0"/>
              </w:rPr>
              <w:br/>
            </w:r>
            <w:r>
              <w:rPr>
                <w:b w:val="0"/>
                <w:i w:val="0"/>
              </w:rPr>
              <w:t>- Bộ Tài chính ;</w:t>
            </w:r>
            <w:r>
              <w:rPr>
                <w:b w:val="0"/>
                <w:i w:val="0"/>
              </w:rPr>
              <w:br/>
            </w:r>
            <w:r>
              <w:rPr>
                <w:b w:val="0"/>
                <w:i w:val="0"/>
              </w:rPr>
              <w:t>- Cục Kiểm tra văn bản-Bộ Tư pháp;</w:t>
            </w:r>
            <w:r>
              <w:rPr>
                <w:b w:val="0"/>
                <w:i w:val="0"/>
              </w:rPr>
              <w:br/>
            </w:r>
            <w:r>
              <w:rPr>
                <w:b w:val="0"/>
                <w:i w:val="0"/>
              </w:rPr>
              <w:t>- Thường trực Thành ủy;</w:t>
            </w:r>
            <w:r>
              <w:rPr>
                <w:b w:val="0"/>
                <w:i w:val="0"/>
              </w:rPr>
              <w:br/>
            </w:r>
            <w:r>
              <w:rPr>
                <w:b w:val="0"/>
                <w:i w:val="0"/>
              </w:rPr>
              <w:t>- Thường trực Hội đồng nhân dân Thành phố;</w:t>
            </w:r>
            <w:r>
              <w:rPr>
                <w:b w:val="0"/>
                <w:i w:val="0"/>
              </w:rPr>
              <w:br/>
            </w:r>
            <w:r>
              <w:rPr>
                <w:b w:val="0"/>
                <w:i w:val="0"/>
              </w:rPr>
              <w:t>- Thường trực Ủy ban nhân dân Thành phố;</w:t>
            </w:r>
            <w:r>
              <w:rPr>
                <w:b w:val="0"/>
                <w:i w:val="0"/>
              </w:rPr>
              <w:br/>
            </w:r>
            <w:r>
              <w:rPr>
                <w:b w:val="0"/>
                <w:i w:val="0"/>
              </w:rPr>
              <w:t>- Ban Thường trực UBMTTQ Việt Nam Thành phố;</w:t>
            </w:r>
            <w:r>
              <w:rPr>
                <w:b w:val="0"/>
                <w:i w:val="0"/>
              </w:rPr>
              <w:br/>
            </w:r>
            <w:r>
              <w:rPr>
                <w:b w:val="0"/>
                <w:i w:val="0"/>
              </w:rPr>
              <w:t>- Đoàn đại biểu Quốc hội Thành phố;</w:t>
            </w:r>
            <w:r>
              <w:rPr>
                <w:b w:val="0"/>
                <w:i w:val="0"/>
              </w:rPr>
              <w:br/>
            </w:r>
            <w:r>
              <w:rPr>
                <w:b w:val="0"/>
                <w:i w:val="0"/>
              </w:rPr>
              <w:t>- Đại biểu Hội đồng nhân dân Thành phố;</w:t>
            </w:r>
            <w:r>
              <w:rPr>
                <w:b w:val="0"/>
                <w:i w:val="0"/>
              </w:rPr>
              <w:br/>
            </w:r>
            <w:r>
              <w:rPr>
                <w:b w:val="0"/>
                <w:i w:val="0"/>
              </w:rPr>
              <w:t>- Văn phòng Thành ủy;</w:t>
            </w:r>
            <w:r>
              <w:rPr>
                <w:b w:val="0"/>
                <w:i w:val="0"/>
              </w:rPr>
              <w:br/>
            </w:r>
            <w:r>
              <w:rPr>
                <w:b w:val="0"/>
                <w:i w:val="0"/>
              </w:rPr>
              <w:t>- Văn phòng Đoàn ĐBQH và HĐND TP: CPVP;</w:t>
            </w:r>
            <w:r>
              <w:rPr>
                <w:b w:val="0"/>
                <w:i w:val="0"/>
              </w:rPr>
              <w:br/>
            </w:r>
            <w:r>
              <w:rPr>
                <w:b w:val="0"/>
                <w:i w:val="0"/>
              </w:rPr>
              <w:t>- VP UBND TP: CPVP; Phòng HC,TC-TM-DV,THKH;</w:t>
            </w:r>
            <w:r>
              <w:rPr>
                <w:b w:val="0"/>
                <w:i w:val="0"/>
              </w:rPr>
              <w:br/>
            </w:r>
            <w:r>
              <w:rPr>
                <w:b w:val="0"/>
                <w:i w:val="0"/>
              </w:rPr>
              <w:t>- Thủ trưởng các Sở, ban, ngành Thành phố;</w:t>
            </w:r>
            <w:r>
              <w:rPr>
                <w:b w:val="0"/>
                <w:i w:val="0"/>
              </w:rPr>
              <w:br/>
            </w:r>
            <w:r>
              <w:rPr>
                <w:b w:val="0"/>
                <w:i w:val="0"/>
              </w:rPr>
              <w:t>- Chủ tịch Ủy ban nhân dân các quận, huyện;</w:t>
            </w:r>
            <w:r>
              <w:rPr>
                <w:b w:val="0"/>
                <w:i w:val="0"/>
              </w:rPr>
              <w:br/>
            </w:r>
            <w:r>
              <w:rPr>
                <w:b w:val="0"/>
                <w:i w:val="0"/>
              </w:rPr>
              <w:t>- Trung tâm công báo;</w:t>
            </w:r>
            <w:r>
              <w:rPr>
                <w:b w:val="0"/>
                <w:i w:val="0"/>
              </w:rPr>
              <w:br/>
            </w:r>
            <w:r>
              <w:rPr>
                <w:b w:val="0"/>
                <w:i w:val="0"/>
              </w:rPr>
              <w:t>- Lưu: VT, (KT/BQH).</w:t>
            </w:r>
          </w:p>
        </w:tc>
        <w:tc>
          <w:tcPr>
            <w:tcW w:type="dxa" w:w="4320"/>
          </w:tcPr>
          <w:p>
            <w:r>
              <w:rPr>
                <w:b w:val="0"/>
                <w:i w:val="0"/>
              </w:rPr>
              <w:br/>
            </w:r>
            <w:r>
              <w:rPr>
                <w:b/>
                <w:i w:val="0"/>
              </w:rPr>
              <w:t>TM. ỦY BAN NHÂN DÂN</w:t>
            </w:r>
            <w:r>
              <w:rPr>
                <w:b w:val="0"/>
                <w:i w:val="0"/>
              </w:rPr>
              <w:br/>
            </w:r>
            <w:r>
              <w:rPr>
                <w:b/>
                <w:i w:val="0"/>
              </w:rPr>
              <w:t>CHỦ TỊCH</w:t>
            </w:r>
            <w:r>
              <w:rPr>
                <w:b w:val="0"/>
                <w:i w:val="0"/>
              </w:rPr>
              <w:br/>
            </w:r>
            <w:r>
              <w:rPr>
                <w:b/>
                <w:i/>
              </w:rPr>
              <w:t>(đã ký)</w:t>
            </w:r>
            <w:r>
              <w:rPr>
                <w:b w:val="0"/>
                <w:i w:val="0"/>
              </w:rPr>
              <w:br/>
            </w:r>
            <w:r>
              <w:rPr>
                <w:b/>
                <w:i w:val="0"/>
              </w:rPr>
              <w:t>Phan Văn Mãi</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