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44/2024/TT-NHNN sửa đổi, bổ sung khoản 2 Điều 2 Thông tư số 16/2019/TT-NHNN ngày 22 tháng 10 năm 2019 của Thống đốc Ngân hàng Nhà nước Việt Nam quy định về phát hành tín phiếu Ngân hàng Nhà nước</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44/2024/TT-NHNN</w:t>
      </w:r>
      <w:r>
        <w:rPr>
          <w:b w:val="0"/>
          <w:i w:val="0"/>
        </w:rPr>
        <w:br/>
      </w:r>
      <w:r>
        <w:rPr>
          <w:b w:val="0"/>
          <w:i w:val="0"/>
        </w:rPr>
        <w:br/>
      </w:r>
      <w:r>
        <w:rPr>
          <w:b w:val="0"/>
          <w:i/>
        </w:rPr>
        <w:br/>
      </w:r>
      <w:r>
        <w:rPr>
          <w:b w:val="0"/>
          <w:i/>
        </w:rPr>
        <w:t>Hà Nội, ngày 30 tháng 8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44/2024/TT-NHNN</w:t>
      </w:r>
      <w:r>
        <w:rPr>
          <w:b w:val="0"/>
          <w:i w:val="0"/>
        </w:rPr>
        <w:br/>
      </w:r>
      <w:r>
        <w:rPr>
          <w:b w:val="0"/>
          <w:i w:val="0"/>
        </w:rPr>
        <w:br/>
      </w:r>
      <w:r>
        <w:rPr>
          <w:b w:val="0"/>
          <w:i/>
        </w:rPr>
        <w:br/>
      </w:r>
      <w:r>
        <w:rPr>
          <w:b w:val="0"/>
          <w:i/>
        </w:rPr>
        <w:t>Hà Nội, ngày 30 tháng 8 năm 2024</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44/2024/TT-NHNN</w:t>
      </w:r>
      <w:r>
        <w:rPr>
          <w:b w:val="0"/>
          <w:i w:val="0"/>
        </w:rPr>
        <w:br/>
      </w:r>
      <w:r>
        <w:rPr>
          <w:b w:val="0"/>
          <w:i w:val="0"/>
        </w:rPr>
        <w:br/>
      </w:r>
      <w:r>
        <w:rPr>
          <w:b w:val="0"/>
          <w:i/>
        </w:rPr>
        <w:br/>
      </w:r>
      <w:r>
        <w:rPr>
          <w:b w:val="0"/>
          <w:i/>
        </w:rPr>
        <w:t>Hà Nội, ngày 30 tháng 8 năm 2024</w:t>
      </w:r>
      <w:r>
        <w:rPr>
          <w:b w:val="0"/>
          <w:i/>
        </w:rPr>
        <w:br/>
      </w:r>
      <w:r>
        <w:rPr>
          <w:b w:val="0"/>
          <w:i w:val="0"/>
        </w:rPr>
        <w:br/>
      </w:r>
    </w:p>
    <w:p>
      <w:pPr>
        <w:jc w:val="center"/>
      </w:pPr>
      <w:r>
        <w:rPr>
          <w:b w:val="0"/>
          <w:i w:val="0"/>
        </w:rPr>
        <w:br/>
      </w:r>
      <w:r>
        <w:rPr>
          <w:b w:val="0"/>
          <w:i w:val="0"/>
        </w:rPr>
        <w:t>Số: 44/2024/TT-NHNN</w:t>
      </w:r>
      <w:r>
        <w:rPr>
          <w:b w:val="0"/>
          <w:i w:val="0"/>
        </w:rPr>
        <w:br/>
      </w:r>
    </w:p>
    <w:p>
      <w:pPr>
        <w:jc w:val="center"/>
      </w:pPr>
      <w:r>
        <w:rPr>
          <w:b w:val="0"/>
          <w:i w:val="0"/>
        </w:rPr>
        <w:br/>
      </w:r>
      <w:r>
        <w:rPr>
          <w:b w:val="0"/>
          <w:i w:val="0"/>
        </w:rPr>
        <w:t>Hà Nội, ngày 30 tháng 8 năm 2024</w:t>
      </w:r>
      <w:r>
        <w:rPr>
          <w:b w:val="0"/>
          <w:i w:val="0"/>
        </w:rPr>
        <w:br/>
      </w:r>
    </w:p>
    <w:p>
      <w:pPr>
        <w:jc w:val="center"/>
      </w:pPr>
      <w:r>
        <w:rPr>
          <w:b/>
          <w:i w:val="0"/>
        </w:rPr>
        <w:t>THÔNG TƯ</w:t>
      </w:r>
    </w:p>
    <w:p>
      <w:pPr>
        <w:jc w:val="center"/>
      </w:pPr>
      <w:r>
        <w:rPr>
          <w:b/>
          <w:i w:val="0"/>
        </w:rPr>
        <w:t xml:space="preserve">Sửa đổi, bổ sung khoản 2 Điều 2 Thông tư số 16/2019/TT-NHNN </w:t>
      </w:r>
    </w:p>
    <w:p>
      <w:pPr>
        <w:jc w:val="center"/>
      </w:pPr>
      <w:r>
        <w:rPr>
          <w:b/>
          <w:i w:val="0"/>
        </w:rPr>
        <w:t>ngày 22 tháng 10 năm 2019 của Thống đốc Ngân hàng Nhà nước Việt Nam quy định về phát hành tín phiếu Ngân hàng Nhà nước</w:t>
      </w:r>
    </w:p>
    <w:p>
      <w:pPr>
        <w:jc w:val="center"/>
      </w:pPr>
      <w:r>
        <w:rPr>
          <w:b/>
          <w:i w:val="0"/>
        </w:rPr>
        <w:t>_________________________</w:t>
      </w:r>
    </w:p>
    <w:p>
      <w:pPr>
        <w:jc w:val="both"/>
      </w:pPr>
      <w:r>
        <w:rPr>
          <w:b w:val="0"/>
          <w:i/>
        </w:rPr>
        <w:t xml:space="preserve">Căn cứ Luật Ngân hàng Nhà nước Việt Nam </w:t>
      </w:r>
      <w:r>
        <w:rPr>
          <w:b w:val="0"/>
          <w:i/>
        </w:rPr>
        <w:t xml:space="preserve">ngày 16 tháng 6 năm </w:t>
      </w:r>
      <w:r>
        <w:rPr>
          <w:b w:val="0"/>
          <w:i/>
        </w:rPr>
        <w:t>2010;</w:t>
      </w:r>
    </w:p>
    <w:p>
      <w:pPr>
        <w:jc w:val="both"/>
      </w:pPr>
      <w:r>
        <w:rPr>
          <w:b w:val="0"/>
          <w:i/>
        </w:rPr>
        <w:t>Căn cứ Luật Các tổ chức tín dụng ngày 18 tháng 01 năm 2024;</w:t>
      </w:r>
    </w:p>
    <w:p>
      <w:pPr>
        <w:jc w:val="both"/>
      </w:pPr>
      <w:r>
        <w:rPr>
          <w:b w:val="0"/>
          <w:i/>
        </w:rPr>
        <w:t>Căn cứ Nghị định số 102/2022/NĐ-CP ngày 12 tháng 12 năm 2022 của Chính phủ quy định chức năng, nhiệm vụ, quyền hạn và cơ cấu tổ chức của Ngân hàng Nhà nước Việt Nam;</w:t>
      </w:r>
    </w:p>
    <w:p>
      <w:pPr>
        <w:jc w:val="both"/>
      </w:pPr>
      <w:r>
        <w:rPr>
          <w:b w:val="0"/>
          <w:i/>
        </w:rPr>
        <w:t xml:space="preserve">Theo đề nghị của Vụ trưởng Vụ Chính sách tiền tệ; </w:t>
      </w:r>
    </w:p>
    <w:p>
      <w:pPr>
        <w:jc w:val="both"/>
      </w:pPr>
      <w:r>
        <w:rPr>
          <w:b w:val="0"/>
          <w:i/>
        </w:rPr>
        <w:t>Thống đốc Ngân hàng Nhà nước Việt Nam ban hành Thông tư sửa đổi, bổ sung khoản 2 Điều 2 Thông tư số 16/2019/TT-NHNN ngày 22 tháng 10 năm 2019 của Thống đốc Ngân hàng Nhà nước Việt Nam quy định về phát hành tín phiếu Ngân hàng Nhà nước.</w:t>
      </w:r>
    </w:p>
    <w:p>
      <w:r>
        <w:rPr>
          <w:b/>
          <w:i w:val="0"/>
        </w:rPr>
        <w:t>Điều 1. Sửa đổi, bổ sung khoản 2 Điều 2 Thông tư số 16/2019/TT-NHNN</w:t>
      </w:r>
    </w:p>
    <w:p>
      <w:r>
        <w:rPr>
          <w:b w:val="0"/>
          <w:i w:val="0"/>
        </w:rPr>
        <w:t>"2. Ngân hàng thương mại, chi nhánh ngân hàng nước ngoài, công ty tài chính tổng hợp, công ty tài chính chuyên ngành, ngân hàng hợp tác xã, ngân hàng chính sách (sau đây gọi là tổ chức tín dụng)."</w:t>
      </w:r>
    </w:p>
    <w:p>
      <w:r>
        <w:rPr>
          <w:b/>
          <w:i w:val="0"/>
        </w:rPr>
        <w:t>Điều 2. Trách nhiệm tổ chức thực hiện</w:t>
      </w:r>
    </w:p>
    <w:p>
      <w:r>
        <w:rPr>
          <w:b w:val="0"/>
          <w:i w:val="0"/>
        </w:rPr>
        <w:t>Chánh Văn phòng, Vụ trưởng Vụ Chính sách tiền tệ, Thủ trưởng các đơn vị thuộc Ngân hàng Nhà nước, Bảo hiểm tiền gửi Việt Nam và các tổ chức tín dụng chịu trách nhiệm tổ chức thực hiện Thông tư này.</w:t>
      </w:r>
    </w:p>
    <w:p>
      <w:r>
        <w:rPr>
          <w:b/>
          <w:i w:val="0"/>
        </w:rPr>
        <w:t>Điều 3. Điều khoản thi hành</w:t>
      </w:r>
    </w:p>
    <w:p>
      <w:r>
        <w:rPr>
          <w:b w:val="0"/>
          <w:i w:val="0"/>
        </w:rPr>
        <w:t>Thông tư này có hiệu lực thi hành từ ngày 23 tháng 10 năm 2024.</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Thanh Hà</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Phạm Thanh Hà</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Phạm Thanh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