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4548/2013/QĐ-UBND Quy định về trách nhiệm và quy trình thực hiện chính sách miến thủy lợi phí trên đại bàn tỉnh Thanh Hóa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4548/2013/QĐ-UBND</w:t>
        <w:br/>
        <w:t xml:space="preserve">     </w:t>
      </w:r>
      <w:r>
        <w:rPr>
          <w:b w:val="0"/>
          <w:i w:val="0"/>
        </w:rPr>
        <w:br/>
      </w:r>
      <w:r>
        <w:rPr>
          <w:b w:val="0"/>
          <w:i/>
        </w:rPr>
        <w:br/>
        <w:t xml:space="preserve">      Thanh Hóa, ngày 20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4548/2013/QĐ-UBND</w:t>
        <w:br/>
        <w:t xml:space="preserve">     </w:t>
      </w:r>
      <w:r>
        <w:rPr>
          <w:b w:val="0"/>
          <w:i w:val="0"/>
        </w:rPr>
        <w:br/>
      </w:r>
      <w:r>
        <w:rPr>
          <w:b w:val="0"/>
          <w:i/>
        </w:rPr>
        <w:br/>
        <w:t xml:space="preserve">      Thanh Hóa, ngày 20 tháng 12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4548/2013/QĐ-UBND</w:t>
        <w:br/>
        <w:t xml:space="preserve">     </w:t>
      </w:r>
      <w:r>
        <w:rPr>
          <w:b w:val="0"/>
          <w:i w:val="0"/>
        </w:rPr>
        <w:br/>
      </w:r>
      <w:r>
        <w:rPr>
          <w:b w:val="0"/>
          <w:i/>
        </w:rPr>
        <w:br/>
        <w:t xml:space="preserve">      Thanh Hóa, ngày 20 tháng 12 năm 2013</w:t>
        <w:br/>
        <w:t xml:space="preserve">     </w:t>
      </w:r>
      <w:r>
        <w:rPr>
          <w:b w:val="0"/>
          <w:i w:val="0"/>
        </w:rPr>
        <w:br/>
      </w:r>
    </w:p>
    <w:p>
      <w:pPr>
        <w:jc w:val="center"/>
      </w:pPr>
      <w:r>
        <w:rPr>
          <w:b w:val="0"/>
          <w:i w:val="0"/>
        </w:rPr>
        <w:br/>
        <w:t xml:space="preserve">      Số: 4548/2013/QĐ-UBND</w:t>
        <w:br/>
        <w:t xml:space="preserve">     </w:t>
      </w:r>
    </w:p>
    <w:p>
      <w:pPr>
        <w:jc w:val="center"/>
      </w:pPr>
      <w:r>
        <w:rPr>
          <w:b w:val="0"/>
          <w:i w:val="0"/>
        </w:rPr>
        <w:br/>
        <w:t xml:space="preserve">      Thanh Hóa, ngày 20 tháng 12 năm 2013</w:t>
        <w:br/>
        <w:t xml:space="preserve">     </w:t>
      </w:r>
    </w:p>
    <w:p>
      <w:r>
        <w:rPr>
          <w:b/>
          <w:i w:val="0"/>
        </w:rPr>
        <w:t xml:space="preserve">QUYẾT ĐỊNH </w:t>
      </w:r>
    </w:p>
    <w:p>
      <w:r>
        <w:rPr>
          <w:b/>
          <w:i w:val="0"/>
        </w:rPr>
        <w:t>Quy định về trách nhiệm và quy trình thực hiện chính sách</w:t>
      </w:r>
      <w:r>
        <w:br/>
      </w:r>
      <w:r>
        <w:rPr>
          <w:b/>
          <w:i w:val="0"/>
        </w:rPr>
        <w:t>miễn thủy lợi phí trên địa bàn tỉnh Thanh Hóa</w:t>
      </w:r>
    </w:p>
    <w:p>
      <w:r>
        <w:rPr>
          <w:b/>
          <w:i w:val="0"/>
        </w:rPr>
        <w:t>___________________</w:t>
      </w:r>
    </w:p>
    <w:p>
      <w:r>
        <w:rPr>
          <w:b/>
          <w:i w:val="0"/>
        </w:rPr>
        <w:t>ỦY BAN NHÂN DÂN TỈNH THANH HÓA</w:t>
      </w:r>
    </w:p>
    <w:p>
      <w:r>
        <w:rPr>
          <w:b w:val="0"/>
          <w:i w:val="0"/>
        </w:rPr>
        <w:t>Căn cứ Luật tổ chức HĐND và UBND ngày 26/11/2003;</w:t>
      </w:r>
    </w:p>
    <w:p>
      <w:r>
        <w:rPr>
          <w:b w:val="0"/>
          <w:i w:val="0"/>
        </w:rPr>
        <w:t>Căn cứ Pháp lệnh Khai thác và Bảo vệ công trình thủy lợi số 32/2001/PL-UBTVQH10 ngày 04/4/2001;</w:t>
      </w:r>
    </w:p>
    <w:p>
      <w:r>
        <w:rPr>
          <w:b w:val="0"/>
          <w:i w:val="0"/>
        </w:rPr>
        <w:t>Căn cứ Nghị định số 143/2003/NĐ-CP ngày 28/11/2003 của Chính phủ quy định chi tiết thi hành một số điều của Pháp lệnh Khai thác và Bảo vệ công trình thuỷ lợi;</w:t>
      </w:r>
    </w:p>
    <w:p>
      <w:r>
        <w:rPr>
          <w:b w:val="0"/>
          <w:i w:val="0"/>
        </w:rPr>
        <w:t>Căn cứ Nghị định số 67/2012/NĐ-CP ngày 10/9/2012 của Chính phủ sửa đổi, bổ sung một số điều của Nghị định số 143/2003/NĐ-CP ngày 28/11/2003 của Chính phủ quy định chi tiết thi hành một số điều của Pháp lệnh Khai thác và Bảo vệ công trình thủy lợi;</w:t>
      </w:r>
    </w:p>
    <w:p>
      <w:r>
        <w:rPr>
          <w:b w:val="0"/>
          <w:i w:val="0"/>
        </w:rPr>
        <w:t>Căn cứ Thông tư số 65/2009/TT-BNNPTNT ngày 12/10/2009 của Bộ Nông nghiệp và Phát triển nông thôn về Hướng dẫn tổ chức hoạt động và phân cấp quản lý, khai thác công trình thuỷ lợi;</w:t>
      </w:r>
    </w:p>
    <w:p>
      <w:r>
        <w:rPr>
          <w:b w:val="0"/>
          <w:i w:val="0"/>
        </w:rPr>
        <w:t>Căn cứ Thông tư số 56/2010/TT-BNNPTNT ngày 01/10/2010 của Bộ Nông nghiệp và Phát triển nông thôn Quy định một số nội dung trong hoạt động của các tổ chức quản lý, khai thác công trình thủy lợi;</w:t>
      </w:r>
    </w:p>
    <w:p>
      <w:r>
        <w:rPr>
          <w:b w:val="0"/>
          <w:i w:val="0"/>
        </w:rPr>
        <w:t>Căn cứ Thông tư số 40/2011/TT-BNN ngày 27/5/2011 của Bộ Nông nghiệp và Phát triển nông thôn về quy định năng lực tổ chức, cá nhân tham gia quản lý, khai thác công trình thủy lợi.</w:t>
      </w:r>
    </w:p>
    <w:p>
      <w:r>
        <w:rPr>
          <w:b w:val="0"/>
          <w:i w:val="0"/>
        </w:rPr>
        <w:t>Căn cứ Thông tư số 41/2013/TT-BTC ngày 11/4/2013 của Bộ Tài chính về việc Hướng dẫn thi hành một số điều của Nghị định số 67/2012/NĐ-CP ngày 10/9/2012 sửa đổi, bổ sung một số điều của Nghị định số 143/2003/NĐ-CP ngày 28/11/2003 của Chính phủ quy định chi tiết thi hành một số điều của Pháp lệnh Khai thác và Bảo vệ công trình thủy lợi;</w:t>
      </w:r>
    </w:p>
    <w:p>
      <w:r>
        <w:rPr>
          <w:b w:val="0"/>
          <w:i w:val="0"/>
        </w:rPr>
        <w:t>Xét đề nghị của Sở Tài chính tại Công văn số 3462/STC-TCDN ngày 23/9/2013 về việc giao nhiệm vụ thực hiện chính sách miễn thuỷ lợi phí,</w:t>
      </w:r>
    </w:p>
    <w:p>
      <w:r>
        <w:rPr>
          <w:b/>
          <w:i w:val="0"/>
        </w:rPr>
        <w:t>QUYẾT ĐỊNH</w:t>
      </w:r>
    </w:p>
    <w:p>
      <w:r>
        <w:rPr>
          <w:b/>
          <w:i w:val="0"/>
        </w:rPr>
        <w:t xml:space="preserve">Điều 1. </w:t>
      </w:r>
      <w:r>
        <w:rPr>
          <w:b w:val="0"/>
          <w:i w:val="0"/>
        </w:rPr>
        <w:t>Ban hành kèm theo Quyết định này Quy định về trách nhiệm và quy trình thực hiện chính sách miễn thuỷ lợi phí trên địa bàn tỉnh Thanh Hóa.</w:t>
      </w:r>
    </w:p>
    <w:p>
      <w:r>
        <w:rPr>
          <w:b/>
          <w:i w:val="0"/>
        </w:rPr>
        <w:t xml:space="preserve">Điều 2. </w:t>
      </w:r>
      <w:r>
        <w:rPr>
          <w:b w:val="0"/>
          <w:i w:val="0"/>
        </w:rPr>
        <w:t>Quyết định này có hiệu lực thi hành sau 10 ngày kể từ ngày ký;</w:t>
      </w:r>
    </w:p>
    <w:p>
      <w:r>
        <w:rPr>
          <w:b w:val="0"/>
          <w:i w:val="0"/>
        </w:rPr>
        <w:t>Chánh văn phòng UBND tỉnh, Giám đốc các Sở: Tài chính, Nông nghiệp và Phát triển nông thôn; Chủ tịch UBND các huyện, thị xã, thành phố, xã, phường, thị trấn; Hội đồng thành viên, Chủ tịch công ty, Tổng giám đốc, Giám đốc các công ty thuỷ nông; Thủ trưởng các ngành, đơn vị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Trịnh Văn Chiến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Trịnh Văn Chiến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Trịnh Văn Chiến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Trịnh Văn Chiến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