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45/2000/QĐ-BCN Về việc sáp nhập Nhà máy Cơ khí Thuốc lá vào Nhà máy Thuốc lá Thăng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val="0"/>
          <w:i w:val="0"/>
        </w:rPr>
        <w:br/>
      </w:r>
      <w:r>
        <w:rPr>
          <w:b/>
          <w:i w:val="0"/>
        </w:rPr>
        <w:t xml:space="preserve">QUYẾT ĐỊNH </w:t>
      </w:r>
      <w:r>
        <w:rPr>
          <w:b w:val="0"/>
          <w:i w:val="0"/>
        </w:rPr>
        <w:br/>
      </w:r>
      <w:r>
        <w:rPr>
          <w:b/>
          <w:i w:val="0"/>
        </w:rPr>
        <w:t xml:space="preserve">Về việc sáp nhập Nhà máy Cơ khí Thuốc lá vào </w:t>
      </w:r>
      <w:r>
        <w:rPr>
          <w:b w:val="0"/>
          <w:i w:val="0"/>
        </w:rPr>
        <w:br/>
      </w:r>
      <w:r>
        <w:rPr>
          <w:b/>
          <w:i w:val="0"/>
        </w:rPr>
        <w:t>Nhà máy Thuốc lá Thăng Long</w:t>
      </w:r>
      <w:r>
        <w:rPr>
          <w:b w:val="0"/>
          <w:i w:val="0"/>
        </w:rPr>
        <w:br/>
      </w:r>
      <w:r>
        <w:rPr>
          <w:b/>
          <w:i w:val="0"/>
        </w:rPr>
        <w:t xml:space="preserve"> </w:t>
      </w:r>
      <w:r>
        <w:rPr>
          <w:b w:val="0"/>
          <w:i w:val="0"/>
        </w:rPr>
        <w:br/>
      </w:r>
      <w:r>
        <w:rPr>
          <w:b/>
          <w:i w:val="0"/>
        </w:rPr>
        <w:t xml:space="preserve"> </w:t>
      </w:r>
      <w:r>
        <w:rPr>
          <w:b/>
          <w:i w:val="0"/>
        </w:rPr>
        <w:t>BỘ TRƯỞNG BỘ CÔNG NGHIỆP</w:t>
      </w:r>
      <w:r>
        <w:rPr>
          <w:b w:val="0"/>
          <w:i w:val="0"/>
        </w:rPr>
        <w:br/>
      </w:r>
      <w:r>
        <w:rPr>
          <w:b w:val="0"/>
          <w:i w:val="0"/>
        </w:rPr>
        <w:t xml:space="preserve"> </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08 năm 1996 của Chính phủ về thành lập, tổ chức lại, giải thể và phá sản doanh nghiệp Nhà nước;</w:t>
      </w:r>
      <w:r>
        <w:rPr>
          <w:b w:val="0"/>
          <w:i w:val="0"/>
        </w:rPr>
        <w:br/>
      </w:r>
      <w:r>
        <w:rPr>
          <w:b w:val="0"/>
          <w:i/>
        </w:rPr>
        <w:t>Thừa uỷ quyền của Thủ tướng Chính phủ tại Công văn số 43/CP-ĐMD ngày 18 tháng 07 năm 2000 của Thủ tướng Chính phủ về việc sáp nhập Nhà máy Cơ khí Thuốc lá vào Nhà máy Thuốc lá Thăng Long;</w:t>
      </w:r>
      <w:r>
        <w:rPr>
          <w:b w:val="0"/>
          <w:i w:val="0"/>
        </w:rPr>
        <w:br/>
      </w:r>
      <w:r>
        <w:rPr>
          <w:b w:val="0"/>
          <w:i/>
        </w:rPr>
        <w:t>Xét đề nghị của Tổng công ty Thuốc lá Việt Nam (Công văn số 21/TLVN-CV-TC ngày 20 tháng 07 năm 2000) về việc sáp nhập Nhà máy Cơ khí Thuốc lá vào Nhà máy Thuốc lá Thăng Long;</w:t>
      </w:r>
      <w:r>
        <w:rPr>
          <w:b w:val="0"/>
          <w:i w:val="0"/>
        </w:rPr>
        <w:br/>
      </w:r>
      <w:r>
        <w:rPr>
          <w:b w:val="0"/>
          <w:i/>
        </w:rPr>
        <w:t>Theo đề nghị của Vụ trưởng Vụ Tổ chức - Cán bộ,</w:t>
      </w:r>
      <w:r>
        <w:rPr>
          <w:b w:val="0"/>
          <w:i w:val="0"/>
        </w:rPr>
        <w:br/>
      </w:r>
      <w:r>
        <w:rPr>
          <w:b/>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Sáp nhập Nhà máy Cơ khí Thuốc lá thuộc Tổng công ty Thuốc lá Việt Nam, vào Nhà máy Thuốc lá Thăng Long là doanh nghiệp thành viên của Tổng công ty Thuốc lá Việt Nam.</w:t>
      </w:r>
      <w:r>
        <w:rPr>
          <w:b w:val="0"/>
          <w:i w:val="0"/>
        </w:rPr>
        <w:br/>
      </w:r>
      <w:r>
        <w:rPr>
          <w:b/>
          <w:i w:val="0"/>
        </w:rPr>
        <w:t>Điều 2.</w:t>
      </w:r>
      <w:r>
        <w:rPr>
          <w:b w:val="0"/>
          <w:i w:val="0"/>
        </w:rPr>
        <w:t xml:space="preserve"> Tổng công ty Thuốc lá Việt Nam có trách nhiệm chỉ đạo và hướng dẫn việc sáp nhập Nhà máy Cơ khí Thuốc lá vào Nhà máy Thuốc lá Thăng Long theo đúng thủ tục quy định của Nhà nước.</w:t>
      </w:r>
      <w:r>
        <w:rPr>
          <w:b w:val="0"/>
          <w:i w:val="0"/>
        </w:rPr>
        <w:br/>
      </w:r>
      <w:r>
        <w:rPr>
          <w:b/>
          <w:i w:val="0"/>
        </w:rPr>
        <w:t>Điều 3.</w:t>
      </w:r>
      <w:r>
        <w:rPr>
          <w:b w:val="0"/>
          <w:i w:val="0"/>
        </w:rPr>
        <w:t xml:space="preserve"> Quyết định này có hiệu lực thi hành sau 15 ngày kể từ ngày ký. Bãi bỏ các Quyết định trước đây trái với Quyết định này.</w:t>
      </w:r>
      <w:r>
        <w:rPr>
          <w:b w:val="0"/>
          <w:i w:val="0"/>
        </w:rPr>
        <w:br/>
      </w:r>
      <w:r>
        <w:rPr>
          <w:b w:val="0"/>
          <w:i w:val="0"/>
        </w:rPr>
        <w:t>Chánh Văn phòng Bộ, Chánh Thanh tra Bộ, các Vụ trưởng, Cục trưởng thuộc Bộ, Chủ tịch Hội đồng quản trị, Tổng giám đốc Tổng công ty Thuốc lá Việt Nam, Giám đốc Nhà máy Cơ khí Thuốc lá và Giám đốc Nhà máy Thuốc lá Thăng Long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Huy Côn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