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45/2003/QĐ-BCN Về việc sáp nhập Công ty Đá quý và Vàng Việt Bắc vào Công ty Sắt Cao Bằng, Tổng công ty Khoáng sản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45/2003/QĐ-BCN</w:t>
      </w:r>
      <w:r>
        <w:rPr>
          <w:b w:val="0"/>
          <w:i w:val="0"/>
        </w:rPr>
        <w:br/>
      </w:r>
      <w:r>
        <w:rPr>
          <w:b w:val="0"/>
          <w:i w:val="0"/>
        </w:rPr>
        <w:br/>
      </w:r>
      <w:r>
        <w:rPr>
          <w:b w:val="0"/>
          <w:i/>
        </w:rPr>
        <w:br/>
      </w:r>
      <w:r>
        <w:rPr>
          <w:b w:val="0"/>
          <w:i/>
        </w:rPr>
        <w:t>Hà Nội, ngày 07 tháng 04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45/2003/QĐ-BCN</w:t>
      </w:r>
      <w:r>
        <w:rPr>
          <w:b w:val="0"/>
          <w:i w:val="0"/>
        </w:rPr>
        <w:br/>
      </w:r>
      <w:r>
        <w:rPr>
          <w:b w:val="0"/>
          <w:i w:val="0"/>
        </w:rPr>
        <w:br/>
      </w:r>
      <w:r>
        <w:rPr>
          <w:b w:val="0"/>
          <w:i/>
        </w:rPr>
        <w:br/>
      </w:r>
      <w:r>
        <w:rPr>
          <w:b w:val="0"/>
          <w:i/>
        </w:rPr>
        <w:t>Hà Nội, ngày 07 tháng 04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45/2003/QĐ-BCN</w:t>
      </w:r>
      <w:r>
        <w:rPr>
          <w:b w:val="0"/>
          <w:i w:val="0"/>
        </w:rPr>
        <w:br/>
      </w:r>
      <w:r>
        <w:rPr>
          <w:b w:val="0"/>
          <w:i w:val="0"/>
        </w:rPr>
        <w:br/>
      </w:r>
      <w:r>
        <w:rPr>
          <w:b w:val="0"/>
          <w:i/>
        </w:rPr>
        <w:br/>
      </w:r>
      <w:r>
        <w:rPr>
          <w:b w:val="0"/>
          <w:i/>
        </w:rPr>
        <w:t>Hà Nội, ngày 07 tháng 04 năm 2003</w:t>
      </w:r>
      <w:r>
        <w:rPr>
          <w:b w:val="0"/>
          <w:i/>
        </w:rPr>
        <w:br/>
      </w:r>
      <w:r>
        <w:rPr>
          <w:b w:val="0"/>
          <w:i w:val="0"/>
        </w:rPr>
        <w:br/>
      </w:r>
    </w:p>
    <w:p>
      <w:pPr>
        <w:jc w:val="center"/>
      </w:pPr>
      <w:r>
        <w:rPr>
          <w:b w:val="0"/>
          <w:i w:val="0"/>
        </w:rPr>
        <w:br/>
      </w:r>
      <w:r>
        <w:rPr>
          <w:b w:val="0"/>
          <w:i w:val="0"/>
        </w:rPr>
        <w:t>Số: 45/2003/QĐ-BCN</w:t>
      </w:r>
      <w:r>
        <w:rPr>
          <w:b w:val="0"/>
          <w:i w:val="0"/>
        </w:rPr>
        <w:br/>
      </w:r>
    </w:p>
    <w:p>
      <w:pPr>
        <w:jc w:val="center"/>
      </w:pPr>
      <w:r>
        <w:rPr>
          <w:b w:val="0"/>
          <w:i w:val="0"/>
        </w:rPr>
        <w:br/>
      </w:r>
      <w:r>
        <w:rPr>
          <w:b w:val="0"/>
          <w:i w:val="0"/>
        </w:rPr>
        <w:t>Hà Nội, ngày 07 tháng 04 năm 2003</w:t>
      </w:r>
      <w:r>
        <w:rPr>
          <w:b w:val="0"/>
          <w:i w:val="0"/>
        </w:rPr>
        <w:br/>
      </w:r>
    </w:p>
    <w:p>
      <w:pPr>
        <w:jc w:val="center"/>
      </w:pPr>
      <w:r>
        <w:rPr>
          <w:b/>
          <w:i w:val="0"/>
        </w:rPr>
        <w:t>QUYẾT ĐỊNH CỦA BỘ TRƯỞNG BỘ CÔNG NGHIỆP</w:t>
      </w:r>
    </w:p>
    <w:p>
      <w:r>
        <w:rPr>
          <w:b/>
          <w:i w:val="0"/>
        </w:rPr>
        <w:t>Về việc sáp nhập Công ty Đá quý và Vàng Việt Bắc vào Công ty Sắt Cao Bằng,</w:t>
      </w:r>
      <w:r>
        <w:br/>
      </w:r>
      <w:r>
        <w:rPr>
          <w:b/>
          <w:i w:val="0"/>
        </w:rPr>
        <w:br/>
        <w:t xml:space="preserve">      Tổng công ty Khoáng sản Việt Nam</w:t>
      </w:r>
      <w:r>
        <w:br/>
      </w:r>
      <w:r>
        <w:rPr>
          <w:b/>
          <w:i w:val="0"/>
        </w:rPr>
        <w:br/>
        <w:t xml:space="preserve">      ___________________</w:t>
      </w:r>
    </w:p>
    <w:p>
      <w:pPr>
        <w:jc w:val="center"/>
      </w:pPr>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 xml:space="preserve">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số 50/CP; </w:t>
      </w:r>
    </w:p>
    <w:p>
      <w:r>
        <w:rPr>
          <w:b w:val="0"/>
          <w:i/>
        </w:rPr>
        <w:t xml:space="preserve">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 </w:t>
      </w:r>
    </w:p>
    <w:p>
      <w:r>
        <w:rPr>
          <w:b w:val="0"/>
          <w:i/>
        </w:rPr>
        <w:t>Căn cứ Quyết định số 05/2003/QĐ-BCN ngày 13 tháng 02 năm 2003 của Bộ trưởng Bộ Công nghiệp về việc sáp nhập Tổng công ty Đá quý và Vàng Việt Nam vào Tổng công ty Khoáng sản Việt Nam;</w:t>
      </w:r>
    </w:p>
    <w:p>
      <w:r>
        <w:rPr>
          <w:b w:val="0"/>
          <w:i/>
        </w:rPr>
        <w:t>Xét đề nghị của Hội đồng quản trị Tổng công ty Khoáng sản Việt Nam tại Tờ trình số 176/CV-HĐQT ngày 21 tháng 3 năm 2003;</w:t>
      </w:r>
    </w:p>
    <w:p>
      <w:r>
        <w:rPr>
          <w:b w:val="0"/>
          <w:i/>
        </w:rPr>
        <w:t>Theo đề nghị của Vụ trưởng Vụ Tổ chức-Cán bộ,</w:t>
      </w:r>
      <w:r>
        <w:rPr>
          <w:b/>
          <w:i/>
        </w:rPr>
        <w:t xml:space="preserve"> </w:t>
      </w:r>
    </w:p>
    <w:p>
      <w:pPr>
        <w:jc w:val="center"/>
      </w:pPr>
      <w:r>
        <w:rPr>
          <w:b/>
          <w:i w:val="0"/>
        </w:rPr>
        <w:t>QUYẾT ĐỊNH:</w:t>
      </w:r>
    </w:p>
    <w:p>
      <w:r>
        <w:rPr>
          <w:b/>
          <w:i w:val="0"/>
        </w:rPr>
        <w:t xml:space="preserve">Điều 1. </w:t>
      </w:r>
      <w:r>
        <w:rPr>
          <w:b w:val="0"/>
          <w:i w:val="0"/>
        </w:rPr>
        <w:t>Sáp nhập Công ty Đá quý và Vàng Việt Bắc vào Công ty Sắt Cao Bằng, Tổng công ty Khoáng sản Việt Nam.</w:t>
      </w:r>
    </w:p>
    <w:p>
      <w:r>
        <w:rPr>
          <w:b/>
          <w:i w:val="0"/>
        </w:rPr>
        <w:t xml:space="preserve">Điều 2. </w:t>
      </w:r>
      <w:r>
        <w:rPr>
          <w:b w:val="0"/>
          <w:i w:val="0"/>
        </w:rPr>
        <w:t>Giao Hội đồng quản trị Tổng công ty Khoáng sản Việt Nam :</w:t>
      </w:r>
    </w:p>
    <w:p>
      <w:r>
        <w:rPr>
          <w:b w:val="0"/>
          <w:i w:val="0"/>
        </w:rPr>
        <w:t>1. Tổ chức thực hiện việc sáp nhập theo đúng các quy định hiện hành của Nhà nước.</w:t>
      </w:r>
    </w:p>
    <w:p>
      <w:r>
        <w:rPr>
          <w:b w:val="0"/>
          <w:i w:val="0"/>
        </w:rPr>
        <w:t>2. Phê duyệt Điều lệ về tổ chức và hoạt động của Công ty Sắt Cao Bằng (sửa đổi, bổ sung) và chỉ đạo thực hiện đăng ký kinh doanh bổ sung theo quy định của pháp luật.</w:t>
      </w:r>
    </w:p>
    <w:p>
      <w:r>
        <w:rPr>
          <w:b/>
          <w:i w:val="0"/>
        </w:rPr>
        <w:t xml:space="preserve">Điều 3.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và Tổng giám đốc Tổng công ty Khoáng sản Việt Nam, Giám đốc Công ty Đá quý và Vàng Việt Bắc và Giám đốc Công ty Sắt Cao Bằng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 bộ công nghiệp</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BỘ TRƯỞNG bộ công nghiệp</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