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45/2008/QĐ-BTC Về việc ban hành “Quy định Chế độ kế toán áp dụng cho Tổng công ty Đầu tư và Kinh doanh vốn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45/2008/QĐ-BTC</w:t>
      </w:r>
      <w:r>
        <w:rPr>
          <w:b w:val="0"/>
          <w:i w:val="0"/>
        </w:rPr>
        <w:br/>
      </w:r>
      <w:r>
        <w:rPr>
          <w:b w:val="0"/>
          <w:i w:val="0"/>
        </w:rPr>
        <w:br/>
      </w:r>
      <w:r>
        <w:rPr>
          <w:b w:val="0"/>
          <w:i/>
        </w:rPr>
        <w:t>Hà Nội, ngày 27 tháng 6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định chế độ kế toán áp dụng cho Tổng công ty </w:t>
      </w:r>
      <w:r>
        <w:rPr>
          <w:b/>
          <w:i w:val="0"/>
        </w:rPr>
        <w:t>Đầu tư và Kinh doanh vốn nhà nước”</w:t>
      </w:r>
      <w:r>
        <w:rPr>
          <w:b w:val="0"/>
          <w:i w:val="0"/>
        </w:rPr>
        <w:br/>
      </w:r>
      <w:r>
        <w:rPr>
          <w:b/>
          <w:i w:val="0"/>
        </w:rPr>
        <w:t>BỘ TRƯỞNG BỘ TÀI CHÍNH</w:t>
      </w:r>
      <w:r>
        <w:rPr>
          <w:b w:val="0"/>
          <w:i w:val="0"/>
        </w:rPr>
        <w:br/>
      </w:r>
      <w:r>
        <w:rPr>
          <w:b w:val="0"/>
          <w:i/>
        </w:rPr>
        <w:t xml:space="preserve">Căn cứ Luật Kế toán số 03/2003/QH11 ngày 17/6/2003 và Nghị định số 129/2004/NĐ-CP ngày 31/05/2004 của Chính phủ Quy định chi tiết và hướng dẫn thi hành một số điều của Luật Kế toán trong hoạt động kinh doanh; </w:t>
      </w:r>
      <w:r>
        <w:rPr>
          <w:b w:val="0"/>
          <w:i w:val="0"/>
        </w:rPr>
        <w:br/>
      </w:r>
      <w:r>
        <w:rPr>
          <w:b w:val="0"/>
          <w:i/>
        </w:rPr>
        <w:t>Căn cứ Nghị định số 77/2003/NĐ-CP ngày 01/07/2003 của Chính phủ Quy định chức năng, nhiệm vụ, quyền hạn và cơ cấu tổ chức bộ máy Bộ Tài chính;</w:t>
      </w:r>
      <w:r>
        <w:rPr>
          <w:b w:val="0"/>
          <w:i w:val="0"/>
        </w:rPr>
        <w:br/>
      </w:r>
      <w:r>
        <w:rPr>
          <w:b w:val="0"/>
          <w:i/>
        </w:rPr>
        <w:t xml:space="preserve">Căn cứ Quyết định số 151/2005/QĐ-TTg ngày 20/6/2005 của Thủ tướng Chỉnh phủ về việc thành lập Tổng công ty Đầu tư và Kinh doanh vốn Nhà nước; </w:t>
      </w:r>
      <w:r>
        <w:rPr>
          <w:b w:val="0"/>
          <w:i w:val="0"/>
        </w:rPr>
        <w:br/>
      </w:r>
      <w:r>
        <w:rPr>
          <w:b w:val="0"/>
          <w:i/>
        </w:rPr>
        <w:t xml:space="preserve">Theo đề nghị của Vụ trưởng Vụ Chế độ kế toán và kiểm toán. </w:t>
      </w:r>
      <w:r>
        <w:rPr>
          <w:b w:val="0"/>
          <w:i w:val="0"/>
        </w:rPr>
        <w:br/>
      </w:r>
      <w:r>
        <w:rPr>
          <w:b/>
          <w:i w:val="0"/>
        </w:rPr>
        <w:t>QUYẾT ĐỊNH:</w:t>
      </w:r>
      <w:r>
        <w:rPr>
          <w:b w:val="0"/>
          <w:i w:val="0"/>
        </w:rPr>
        <w:br/>
      </w:r>
      <w:r>
        <w:rPr>
          <w:b/>
          <w:i w:val="0"/>
        </w:rPr>
        <w:t>Điều 1.</w:t>
      </w:r>
      <w:r>
        <w:rPr>
          <w:b w:val="0"/>
          <w:i w:val="0"/>
        </w:rPr>
        <w:t xml:space="preserve"> Ban hành kèm theo Quyết định này "Quy định Chế độ kế toán áp dụng cho Tổng công ty Đầu tư và Kinh doanh vốn Nhà nước".</w:t>
      </w:r>
      <w:r>
        <w:rPr>
          <w:b w:val="0"/>
          <w:i w:val="0"/>
        </w:rPr>
        <w:br/>
      </w:r>
      <w:r>
        <w:rPr>
          <w:b w:val="0"/>
          <w:i w:val="0"/>
        </w:rPr>
        <w:t>Quy định Chế độ kế toán áp dụng cho Tổng công ty Đầu tư và Kinh doanh vốn Nhà nước bao gồm các quy định vận dụng Chế độ kế toán doanh nghiệp (Ban hành kèm theo Quyết định số 15/2006/QĐ-BTC ngày 20/3/2006 của Bộ trưởng Bộ Tài chính) và những quy định đặc thù đối với loại hình Tổng công ty Đầu tư và Kinh doanh vốn Nhà nước.</w:t>
      </w:r>
      <w:r>
        <w:rPr>
          <w:b w:val="0"/>
          <w:i w:val="0"/>
        </w:rPr>
        <w:br/>
      </w:r>
      <w:r>
        <w:rPr>
          <w:b/>
          <w:i w:val="0"/>
        </w:rPr>
        <w:t>Điều 2.</w:t>
      </w:r>
      <w:r>
        <w:rPr>
          <w:b w:val="0"/>
          <w:i w:val="0"/>
        </w:rPr>
        <w:t xml:space="preserve"> Những nội dung kế toán không quy định trong Quyết định này, Tổng công ty Đầu tư và Kinh doanh vốn Nhà nước thực hiện theo quy định tại Luật Kế toán, Nghị định số 129/2004/NĐ-CP ngày 31/5/2004 của Chính phủ và Chế độ kế toán doanh nghiệp.</w:t>
      </w:r>
      <w:r>
        <w:rPr>
          <w:b w:val="0"/>
          <w:i w:val="0"/>
        </w:rPr>
        <w:br/>
      </w:r>
      <w:r>
        <w:rPr>
          <w:b/>
          <w:i w:val="0"/>
        </w:rPr>
        <w:t>Điều 3.</w:t>
      </w:r>
      <w:r>
        <w:rPr>
          <w:b w:val="0"/>
          <w:i w:val="0"/>
        </w:rPr>
        <w:t xml:space="preserve"> Quyết định này có hiệu lực sau 15 ngày, kể từ ngày đăng công báo và áp dụng từ năm tài chính 2008. Tổng công ty Đầu tư và Kinh doanh vốn Nhà nước phải tiến hành khoá sổ kế toán tại thời điểm 31/12/2007 để chuyển số dư các tài khoản kế toán cũ sang tài khoản kế toán mới từ ngày 01/01/2008 và hạch toán các nghiệp vụ kinh tế phát sinh theo quy định của Chế độ kế toán ban hành theo Quyết định này.</w:t>
      </w:r>
      <w:r>
        <w:rPr>
          <w:b w:val="0"/>
          <w:i w:val="0"/>
        </w:rPr>
        <w:br/>
      </w:r>
      <w:r>
        <w:rPr>
          <w:b/>
          <w:i w:val="0"/>
        </w:rPr>
        <w:t>Điều 4.</w:t>
      </w:r>
      <w:r>
        <w:rPr>
          <w:b w:val="0"/>
          <w:i w:val="0"/>
        </w:rPr>
        <w:t xml:space="preserve"> Vụ trưởng Vụ Chế độ kế toán và kiểm toán, Chủ tịch Hội đồng quản trị, Tổng Giám đốc Tổng công ty Đầu tư và Kinh doanh vốn Nhà nước và Thủ trưởng các đơn vị có liên quan chịu trách nhiệm hướng dẫn, kiểm tra và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