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46/2006/QĐ-UBND Về việc ban hành đơn giá ca máy và thiết bị thi công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46/2006/QĐ-UBND</w:t>
        <w:br/>
        <w:t xml:space="preserve">     </w:t>
      </w:r>
      <w:r>
        <w:rPr>
          <w:b w:val="0"/>
          <w:i w:val="0"/>
        </w:rPr>
        <w:br/>
      </w:r>
      <w:r>
        <w:rPr>
          <w:b w:val="0"/>
          <w:i/>
        </w:rPr>
        <w:br/>
        <w:t xml:space="preserve">      Quy Nhơn, ngày 08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46/2006/QĐ-UBND</w:t>
        <w:br/>
        <w:t xml:space="preserve">     </w:t>
      </w:r>
      <w:r>
        <w:rPr>
          <w:b w:val="0"/>
          <w:i w:val="0"/>
        </w:rPr>
        <w:br/>
      </w:r>
      <w:r>
        <w:rPr>
          <w:b w:val="0"/>
          <w:i/>
        </w:rPr>
        <w:br/>
        <w:t xml:space="preserve">      Quy Nhơn, ngày 08 tháng 5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46/2006/QĐ-UBND</w:t>
        <w:br/>
        <w:t xml:space="preserve">     </w:t>
      </w:r>
      <w:r>
        <w:rPr>
          <w:b w:val="0"/>
          <w:i w:val="0"/>
        </w:rPr>
        <w:br/>
      </w:r>
      <w:r>
        <w:rPr>
          <w:b w:val="0"/>
          <w:i/>
        </w:rPr>
        <w:br/>
        <w:t xml:space="preserve">      Quy Nhơn, ngày 08 tháng 5 năm 2006</w:t>
        <w:br/>
        <w:t xml:space="preserve">     </w:t>
      </w:r>
      <w:r>
        <w:rPr>
          <w:b w:val="0"/>
          <w:i w:val="0"/>
        </w:rPr>
        <w:br/>
      </w:r>
    </w:p>
    <w:p>
      <w:pPr>
        <w:jc w:val="center"/>
      </w:pPr>
      <w:r>
        <w:rPr>
          <w:b w:val="0"/>
          <w:i w:val="0"/>
        </w:rPr>
        <w:br/>
        <w:t xml:space="preserve">      Số: 46/2006/QĐ-UBND</w:t>
        <w:br/>
        <w:t xml:space="preserve">     </w:t>
      </w:r>
    </w:p>
    <w:p>
      <w:pPr>
        <w:jc w:val="center"/>
      </w:pPr>
      <w:r>
        <w:rPr>
          <w:b w:val="0"/>
          <w:i w:val="0"/>
        </w:rPr>
        <w:br/>
        <w:t xml:space="preserve">      Quy Nhơn, ngày 08 tháng 5 năm 2006</w:t>
        <w:br/>
        <w:t xml:space="preserve">     </w:t>
      </w:r>
    </w:p>
    <w:p>
      <w:r>
        <w:rPr>
          <w:b w:val="0"/>
          <w:i w:val="0"/>
        </w:rPr>
        <w:t>QUYẾT ĐỊNH</w:t>
      </w:r>
    </w:p>
    <w:p>
      <w:r>
        <w:rPr>
          <w:b/>
          <w:i w:val="0"/>
        </w:rPr>
        <w:t>Về việc ban hành đơn giá ca máy và thiết bị thi công</w:t>
      </w:r>
    </w:p>
    <w:p>
      <w:r>
        <w:rPr>
          <w:b w:val="0"/>
          <w:i w:val="0"/>
        </w:rPr>
        <w:t>ỦY BAN NHÂN DÂN TỈNH</w:t>
      </w:r>
    </w:p>
    <w:p>
      <w:r>
        <w:rPr>
          <w:b w:val="0"/>
          <w:i w:val="0"/>
        </w:rPr>
        <w:t>Căn cứ Luật Tổ chức HĐND và UBND ngày 26/11/2003;</w:t>
      </w:r>
    </w:p>
    <w:p>
      <w:r>
        <w:rPr>
          <w:b w:val="0"/>
          <w:i w:val="0"/>
        </w:rPr>
        <w:t>Căn cứ Nghị định số 205/2004/NĐ-CP ngày 14/12/2004 của Chính phủ về việc ban hành hệ thống thang lương, bảng lương và các chế độ phụ cấp lương trong các công ty Nhà nước;</w:t>
      </w:r>
    </w:p>
    <w:p>
      <w:r>
        <w:rPr>
          <w:b w:val="0"/>
          <w:i w:val="0"/>
        </w:rPr>
        <w:t>Căn cứ Nghị định số 118/2005/NĐ-CP ngày 15/9/2005 của Chính phủ về việc Hướng dẫn lập và quản lý chi phí dự án đầu tư xây dựng công trình;</w:t>
      </w:r>
    </w:p>
    <w:p>
      <w:r>
        <w:rPr>
          <w:b w:val="0"/>
          <w:i w:val="0"/>
        </w:rPr>
        <w:t>Căn cứ Thông tư số 04/2005/TT-BXD ngày 15/4/2005 của Bộ Xây dựng về việc Hướng dẫn lập giá ca máy và thiết bị thi công; Công văn số 512/BXD-KTTC ngày 24/3/2006 của Bộ Xây dựng về việc Hướng dẫn bổ sung Thông tư 06/2005/TT-BXD ngày 15/4/2005;</w:t>
      </w:r>
    </w:p>
    <w:p>
      <w:r>
        <w:rPr>
          <w:b w:val="0"/>
          <w:i w:val="0"/>
        </w:rPr>
        <w:t>Căn cứ Thông tư số 05/2005/TT-BLĐTBXH ngày 05/01/2005 của Bộ Lao động-Thương binh và Xã hội về việc Hướng dẫn phụ cấp lưu động trong các công ty Nhà nước theo Nghị định số 205/2004/NĐ-CP ngày 14/12/2004 của Chính phủ;</w:t>
      </w:r>
    </w:p>
    <w:p>
      <w:r>
        <w:rPr>
          <w:b w:val="0"/>
          <w:i w:val="0"/>
        </w:rPr>
        <w:t>Theo đề nghị của Sở Xây dựng tại Tờ trình số 39/TTr-SXD ngày 20/4/2006,</w:t>
      </w:r>
    </w:p>
    <w:p>
      <w:r>
        <w:rPr>
          <w:b/>
          <w:i w:val="0"/>
        </w:rPr>
        <w:t>QUYẾT ĐỊNH:</w:t>
      </w:r>
    </w:p>
    <w:p>
      <w:r>
        <w:rPr>
          <w:b/>
          <w:i w:val="0"/>
        </w:rPr>
        <w:t xml:space="preserve">Điều 1. </w:t>
      </w:r>
      <w:r>
        <w:rPr>
          <w:b w:val="0"/>
          <w:i w:val="0"/>
        </w:rPr>
        <w:t>Ban hành kèm theo Quyết định này Giá ca máy và thiết bị thi công phục vụ việc lập đơn giá xây dựng, quản lý chi phí dự án đầu tư xây dựng công trình sử dụng vốn ngân sách nhà nước, vốn tín dụng đầu tư phát triển của Nhà nước, vốn tín dụng do Nhà nước bão lãnh, vốn đầu tư phát triển của doanh nghiệp Nhà nước.</w:t>
      </w:r>
    </w:p>
    <w:p>
      <w:r>
        <w:rPr>
          <w:b/>
          <w:i w:val="0"/>
        </w:rPr>
        <w:t xml:space="preserve">Điều 2. </w:t>
      </w:r>
      <w:r>
        <w:rPr>
          <w:b w:val="0"/>
          <w:i w:val="0"/>
        </w:rPr>
        <w:t>Giao Giám đốc Sở Xây dựng chịu trách nhiệm hướng dẫn việc áp dụng, tổ chức thực hiện thống nhất trên địa bàn toàn tỉnh Bình Định.</w:t>
      </w:r>
    </w:p>
    <w:p>
      <w:r>
        <w:rPr>
          <w:b/>
          <w:i w:val="0"/>
        </w:rPr>
        <w:t xml:space="preserve">Điều 3. </w:t>
      </w:r>
      <w:r>
        <w:rPr>
          <w:b w:val="0"/>
          <w:i w:val="0"/>
        </w:rPr>
        <w:t>Quyết định này có hiệu lực thi hành sau 10 ngày kể từ ngày ký.</w:t>
      </w:r>
    </w:p>
    <w:p>
      <w:r>
        <w:rPr>
          <w:b w:val="0"/>
          <w:i w:val="0"/>
        </w:rPr>
        <w:t>Chánh Văn phòng UBND tỉnh, Chủ tịch UBND các huyện, thành phố, Giám đốc các Sở Xây dựng, Tài chính và Thủ trưởng các đơn vị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t xml:space="preserve">      Vũ Hoàng Hà</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t xml:space="preserve">      Vũ Hoàng Hà</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val="0"/>
        </w:rPr>
        <w:br/>
        <w:t xml:space="preserve">      Vũ Hoàng Hà</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Vũ Hoàng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