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46/2007/QĐ-UBND Về việc tổ chức làm việc vào ngày thứ bảy hàng tuần để tiếp nhận, giải quyết thủ tục hành chính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46/2007/QĐ-UBND</w:t>
      </w:r>
      <w:r>
        <w:rPr>
          <w:b w:val="0"/>
          <w:i w:val="0"/>
        </w:rPr>
        <w:br/>
      </w:r>
      <w:r>
        <w:rPr>
          <w:b w:val="0"/>
          <w:i w:val="0"/>
        </w:rPr>
        <w:br/>
      </w:r>
      <w:r>
        <w:rPr>
          <w:b w:val="0"/>
          <w:i/>
        </w:rPr>
        <w:br/>
      </w:r>
      <w:r>
        <w:rPr>
          <w:b w:val="0"/>
          <w:i/>
        </w:rPr>
        <w:t>Hà Tĩnh, ngày 15 tháng 11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46/2007/QĐ-UBND</w:t>
      </w:r>
      <w:r>
        <w:rPr>
          <w:b w:val="0"/>
          <w:i w:val="0"/>
        </w:rPr>
        <w:br/>
      </w:r>
      <w:r>
        <w:rPr>
          <w:b w:val="0"/>
          <w:i w:val="0"/>
        </w:rPr>
        <w:br/>
      </w:r>
      <w:r>
        <w:rPr>
          <w:b w:val="0"/>
          <w:i/>
        </w:rPr>
        <w:br/>
      </w:r>
      <w:r>
        <w:rPr>
          <w:b w:val="0"/>
          <w:i/>
        </w:rPr>
        <w:t>Hà Tĩnh, ngày 15 tháng 11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46/2007/QĐ-UBND</w:t>
      </w:r>
      <w:r>
        <w:rPr>
          <w:b w:val="0"/>
          <w:i w:val="0"/>
        </w:rPr>
        <w:br/>
      </w:r>
      <w:r>
        <w:rPr>
          <w:b w:val="0"/>
          <w:i w:val="0"/>
        </w:rPr>
        <w:br/>
      </w:r>
      <w:r>
        <w:rPr>
          <w:b w:val="0"/>
          <w:i/>
        </w:rPr>
        <w:br/>
      </w:r>
      <w:r>
        <w:rPr>
          <w:b w:val="0"/>
          <w:i/>
        </w:rPr>
        <w:t>Hà Tĩnh, ngày 15 tháng 11 năm 2007</w:t>
      </w:r>
      <w:r>
        <w:rPr>
          <w:b w:val="0"/>
          <w:i/>
        </w:rPr>
        <w:br/>
      </w:r>
      <w:r>
        <w:rPr>
          <w:b w:val="0"/>
          <w:i w:val="0"/>
        </w:rPr>
        <w:br/>
      </w:r>
    </w:p>
    <w:p>
      <w:pPr>
        <w:jc w:val="center"/>
      </w:pPr>
      <w:r>
        <w:rPr>
          <w:b w:val="0"/>
          <w:i w:val="0"/>
        </w:rPr>
        <w:br/>
      </w:r>
      <w:r>
        <w:rPr>
          <w:b w:val="0"/>
          <w:i w:val="0"/>
        </w:rPr>
        <w:t>Số: 46/2007/QĐ-UBND</w:t>
      </w:r>
      <w:r>
        <w:rPr>
          <w:b w:val="0"/>
          <w:i w:val="0"/>
        </w:rPr>
        <w:br/>
      </w:r>
    </w:p>
    <w:p>
      <w:pPr>
        <w:jc w:val="center"/>
      </w:pPr>
      <w:r>
        <w:rPr>
          <w:b w:val="0"/>
          <w:i w:val="0"/>
        </w:rPr>
        <w:br/>
      </w:r>
      <w:r>
        <w:rPr>
          <w:b w:val="0"/>
          <w:i w:val="0"/>
        </w:rPr>
        <w:t>Hà Tĩnh, ngày 15 tháng 11 năm 2007</w:t>
      </w:r>
      <w:r>
        <w:rPr>
          <w:b w:val="0"/>
          <w:i w:val="0"/>
        </w:rPr>
        <w:br/>
      </w:r>
    </w:p>
    <w:p>
      <w:pPr>
        <w:jc w:val="center"/>
      </w:pPr>
      <w:r>
        <w:rPr>
          <w:b/>
          <w:i w:val="0"/>
        </w:rPr>
        <w:t>QUYẾT ĐỊNH</w:t>
      </w:r>
      <w:r>
        <w:br/>
      </w:r>
      <w:r>
        <w:rPr>
          <w:b/>
          <w:i w:val="0"/>
        </w:rPr>
        <w:t xml:space="preserve">Về việc tổ chức làm việc vào ngày thứ bảy hàng tuần </w:t>
      </w:r>
      <w:r>
        <w:br/>
      </w:r>
      <w:r>
        <w:rPr>
          <w:b/>
          <w:i w:val="0"/>
        </w:rPr>
        <w:br/>
        <w:t xml:space="preserve">      để tiếp nhận, giải quyết thủ tục hành chính</w:t>
      </w:r>
    </w:p>
    <w:p>
      <w:pPr>
        <w:jc w:val="center"/>
      </w:pPr>
      <w:r>
        <w:rPr>
          <w:b/>
          <w:i w:val="0"/>
        </w:rPr>
        <w:t>_____________</w:t>
      </w:r>
    </w:p>
    <w:p>
      <w:pPr>
        <w:jc w:val="center"/>
      </w:pPr>
      <w:r>
        <w:rPr>
          <w:b/>
          <w:i w:val="0"/>
        </w:rPr>
        <w:t>ỦY BAN NHÂN DÂN TỈNH</w:t>
      </w:r>
    </w:p>
    <w:p>
      <w:r>
        <w:rPr>
          <w:b w:val="0"/>
          <w:i/>
        </w:rPr>
        <w:t>Căn cứ Luật Tổ chức HĐND và UBND ngày 26 tháng 11 năm 2003;</w:t>
      </w:r>
    </w:p>
    <w:p>
      <w:r>
        <w:rPr>
          <w:b w:val="0"/>
          <w:i/>
        </w:rPr>
        <w:t>Căn cứ Quyết định số 127/2007/QĐ-TTg ngày 01/8/2007 của Thủ tướng Chính phủ về việc tổ chức làm việc vào ngày thứ bảy hàng tuần để tiếp nhận, giải quyết thủ tục hành chính;</w:t>
      </w:r>
    </w:p>
    <w:p>
      <w:r>
        <w:rPr>
          <w:b w:val="0"/>
          <w:i/>
        </w:rPr>
        <w:t>Theo đề nghị của Giám đốc Sở Nội vụ.</w:t>
      </w:r>
    </w:p>
    <w:p>
      <w:pPr>
        <w:jc w:val="center"/>
      </w:pPr>
      <w:r>
        <w:rPr>
          <w:b/>
          <w:i w:val="0"/>
        </w:rPr>
        <w:t>QUYẾT ĐỊNH:</w:t>
      </w:r>
    </w:p>
    <w:p>
      <w:pPr>
        <w:jc w:val="both"/>
      </w:pPr>
      <w:r>
        <w:rPr>
          <w:b/>
          <w:i w:val="0"/>
        </w:rPr>
        <w:t>Điều 1. Tiếp nhận, giải quyết thủ tục hành chính vào ngày thứ bảy hàng tuần (trừ ngày lễ, tết).</w:t>
      </w:r>
    </w:p>
    <w:p>
      <w:pPr>
        <w:jc w:val="both"/>
      </w:pPr>
      <w:r>
        <w:rPr>
          <w:b w:val="0"/>
          <w:i w:val="0"/>
        </w:rPr>
        <w:t xml:space="preserve">1. Tiếp nhận, giải quyết những thủ tục hành chính sau đây: </w:t>
      </w:r>
    </w:p>
    <w:p>
      <w:pPr>
        <w:jc w:val="both"/>
      </w:pPr>
      <w:r>
        <w:rPr>
          <w:b w:val="0"/>
          <w:i w:val="0"/>
        </w:rPr>
        <w:t xml:space="preserve">- Công chứng, chứng thực, các thủ tục liên quan đến hộ tịch; </w:t>
      </w:r>
    </w:p>
    <w:p>
      <w:pPr>
        <w:jc w:val="both"/>
      </w:pPr>
      <w:r>
        <w:rPr>
          <w:b w:val="0"/>
          <w:i w:val="0"/>
        </w:rPr>
        <w:t xml:space="preserve">- Cấp, đổi giấy chứng minh nhân dân; cấp, đổi, gia hạn hộ chiếu, cấp thị thực (visa) cho người nước ngoài; các thủ tục liên quan đến hộ khẩu; </w:t>
      </w:r>
    </w:p>
    <w:p>
      <w:pPr>
        <w:jc w:val="both"/>
      </w:pPr>
      <w:r>
        <w:rPr>
          <w:b w:val="0"/>
          <w:i w:val="0"/>
        </w:rPr>
        <w:t xml:space="preserve">- Cấp, đổi, gia hạn lấy phép, bằng, chứng chỉ chuyên môn của người điều khiển phương tiện vận tải thủy, bộ; đăng kiểm phương tiện vận tải cơ giới; đăng ký các loại phương tiện vận tải, thiết bị thi công; </w:t>
      </w:r>
    </w:p>
    <w:p>
      <w:pPr>
        <w:jc w:val="both"/>
      </w:pPr>
      <w:r>
        <w:rPr>
          <w:b w:val="0"/>
          <w:i w:val="0"/>
        </w:rPr>
        <w:t>- Cấp giấy chứng nhận quyền sử dụng đất, các thủ tục liên quan đến quyền sử dụng đất; - Cấp giấy phép xây dựng, giấy chứng nhận quyền sở hữu công trình xây dựng;</w:t>
      </w:r>
    </w:p>
    <w:p>
      <w:pPr>
        <w:jc w:val="both"/>
      </w:pPr>
      <w:r>
        <w:rPr>
          <w:b w:val="0"/>
          <w:i w:val="0"/>
        </w:rPr>
        <w:t>- Cấp, điều chỉnh giấy chứng nhận đăng ký kinh doanh; cấp, điều chỉnh giấy chứng nhận đăng ký đầu tư;</w:t>
      </w:r>
    </w:p>
    <w:p>
      <w:pPr>
        <w:jc w:val="both"/>
      </w:pPr>
      <w:r>
        <w:rPr>
          <w:b w:val="0"/>
          <w:i w:val="0"/>
        </w:rPr>
        <w:t xml:space="preserve">- Các thủ tục hành chính về thuế (quy định tại khoản 1, 2 Điều 1 Quyết định số 1063/QĐ-TCT ngày 15/8/2007 của Tổng Cục thuế); </w:t>
      </w:r>
    </w:p>
    <w:p>
      <w:pPr>
        <w:jc w:val="both"/>
      </w:pPr>
      <w:r>
        <w:rPr>
          <w:b w:val="0"/>
          <w:i w:val="0"/>
        </w:rPr>
        <w:t>- Thủ tục thông quan hàng hóa xuất khẩu, nhập khẩu, hàng hóa quá cảnh và phương tiện vận tải xuất cảnh, nhập cảnh, quá cảnh;</w:t>
      </w:r>
    </w:p>
    <w:p>
      <w:pPr>
        <w:jc w:val="both"/>
      </w:pPr>
      <w:r>
        <w:rPr>
          <w:b w:val="0"/>
          <w:i w:val="0"/>
        </w:rPr>
        <w:t xml:space="preserve"> - Các thủ tục cấp điện, cấp nước, cải tạo, sửa chữa hệ thống điện, nước.</w:t>
      </w:r>
    </w:p>
    <w:p>
      <w:pPr>
        <w:jc w:val="both"/>
      </w:pPr>
      <w:r>
        <w:rPr>
          <w:b w:val="0"/>
          <w:i w:val="0"/>
        </w:rPr>
        <w:t>2. Các cơ quan, đơn vị, địa phương tổ chức làm việc vào ngày thứ bảy hàng tuần để tiếp nhận, giải quyết thủ tục hành chính, gồm: Văn phòng UBND tỉnh, Sở Tư pháp, Sở Giao thông - Vận tải, Sở Kế hoạch - Đầu tư, Sở Xây dựng, Sở Tài nguyên - Môi trường, Ban Quản lý Khu kinh tế Vũng Áng, Ban Quản lý Cửa khẩu Quốc tế Cầu Treo, Cục thuế, Kho bạc, Công an tỉnh, Điện lực, Cục Hải quan, Công ty Cấp nước; Uy ban nhân dân huyện, thị xã, thành phố, xã, phường, thị trấn.</w:t>
      </w:r>
    </w:p>
    <w:p>
      <w:pPr>
        <w:jc w:val="both"/>
      </w:pPr>
      <w:r>
        <w:rPr>
          <w:b/>
          <w:i w:val="0"/>
        </w:rPr>
        <w:t>Điều 2. Trách nhiệm của các cơ quan, đơn vị, địa phương được giao nhiệm vụ làm việc vào ngày thứ bảy:</w:t>
      </w:r>
    </w:p>
    <w:p>
      <w:pPr>
        <w:jc w:val="both"/>
      </w:pPr>
      <w:r>
        <w:rPr>
          <w:b w:val="0"/>
          <w:i w:val="0"/>
        </w:rPr>
        <w:t xml:space="preserve">- Tổ chức làm việc ngày thứ bảy như ngày làm việc bình thường, sắp xếp, bố trí lao động một cách khoa học để không tăng biên chế, không ảnh hưởng đến hoạt động bình thường vào các ngày làm việc khác trong tuần, bảo đảm hiệu quả công việc. </w:t>
      </w:r>
    </w:p>
    <w:p>
      <w:pPr>
        <w:jc w:val="both"/>
      </w:pPr>
      <w:r>
        <w:rPr>
          <w:b w:val="0"/>
          <w:i w:val="0"/>
        </w:rPr>
        <w:t xml:space="preserve">- Đối với những thủ tục hành chính thuộc loại công việc giải quyết ngay thì bố trí cán bộ lãnh đạo và cán bộ, công chức, viên chức liên quan làm việc để giải quyết theo quy định; Đối với những thủ tục hành chính thuộc loại công việc có hẹn thời gian giải quyết thì bố trí công chức để tiếp nhận và trả kết quả giải quyết, không bố trí các bộ phận liên quan làm việc. </w:t>
      </w:r>
    </w:p>
    <w:p>
      <w:pPr>
        <w:jc w:val="both"/>
      </w:pPr>
      <w:r>
        <w:rPr>
          <w:b w:val="0"/>
          <w:i w:val="0"/>
        </w:rPr>
        <w:t xml:space="preserve">- Bố trí cho cán bộ, công chức, viên chức làm việc ngày thứ bảy được nghỉ bù vào các ngày khác trong tuần, đảm bảo thời gian làm việc 40 giờ/tuần theo quy định. Trường hợp không bố trí được nghỉ bù, giải quyết lương làm thêm giờ theo chế độ, chính sách quy định. </w:t>
      </w:r>
    </w:p>
    <w:p>
      <w:pPr>
        <w:jc w:val="both"/>
      </w:pPr>
      <w:r>
        <w:rPr>
          <w:b w:val="0"/>
          <w:i w:val="0"/>
        </w:rPr>
        <w:t xml:space="preserve">- Tổ chức tốt công tác tuyên truyền, giáo dục, động viên cán bộ, công chức, viên chức nâng cao ý thức trách nhiệm trong việc tham gia làm việc ngày thứ bảy để giải quyết thủ tục hành chính cho nhân dân, tổ chức, doanh nghiệp; Không được có thái độ, hành vi từ chối, miễn cưỡng, thiếu trách nhiệm khi được phân công nhiệm vụ; kiên quyết xử lý đối với cán bộ, công chức, viên chức thiếu trách nhiệm hoặc có hành vi vi phạm các quy định của ủy ban nhân dân tỉnh. </w:t>
      </w:r>
    </w:p>
    <w:p>
      <w:pPr>
        <w:jc w:val="both"/>
      </w:pPr>
      <w:r>
        <w:rPr>
          <w:b w:val="0"/>
          <w:i w:val="0"/>
        </w:rPr>
        <w:t xml:space="preserve">- Định kỳ hàng tháng báo cáo về ủy ban nhân dân tỉnh kết quả thực hiện. </w:t>
      </w:r>
    </w:p>
    <w:p>
      <w:pPr>
        <w:jc w:val="both"/>
      </w:pPr>
      <w:r>
        <w:rPr>
          <w:b w:val="0"/>
          <w:i w:val="0"/>
        </w:rPr>
        <w:t xml:space="preserve">- ủy ban nhân dân huyện, thị xã, thành phố có trách nhiệm chỉ đạo, hướng dẫn ủy ban nhân dân xã, phường, thị trấn thực hiện. </w:t>
      </w:r>
    </w:p>
    <w:p>
      <w:pPr>
        <w:jc w:val="both"/>
      </w:pPr>
      <w:r>
        <w:rPr>
          <w:b w:val="0"/>
          <w:i w:val="0"/>
        </w:rPr>
        <w:t>Giao văn phòng ủy ban nhân dân tỉnh đôn đốc, theo dõi, kiểm tra việc thực hiện của các sở, ban, ngành, các địa phương; tổng hợp báo cáo định kỳ cho Chủ tịch ủy ban nhân dân tỉnh và</w:t>
      </w:r>
    </w:p>
    <w:p>
      <w:pPr>
        <w:jc w:val="both"/>
      </w:pPr>
      <w:r>
        <w:rPr>
          <w:b/>
          <w:i w:val="0"/>
        </w:rPr>
        <w:t>Điều 3. Quyết định này có hiệu lực thi hành sau 10 ngày, kể từ ngày ban hành.</w:t>
      </w:r>
    </w:p>
    <w:p>
      <w:pPr>
        <w:jc w:val="both"/>
      </w:pPr>
      <w:r>
        <w:rPr>
          <w:b w:val="0"/>
          <w:i w:val="0"/>
        </w:rPr>
        <w:t>Giám đốc các Sở, Thủ trưởng ban ngành cấp tỉnh và các đơn vị; Chủ tịch ủy ban nhân dân huyện, thành phố, thị xã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HÀ TĨNH</w:t>
            </w:r>
            <w:r>
              <w:br/>
            </w:r>
            <w:r>
              <w:rPr>
                <w:b/>
                <w:i w:val="0"/>
              </w:rPr>
              <w:t>CHỦ TỊCH</w:t>
            </w:r>
            <w:r>
              <w:rPr>
                <w:b w:val="0"/>
                <w:i w:val="0"/>
              </w:rPr>
              <w:br/>
            </w:r>
            <w:r>
              <w:rPr>
                <w:b/>
                <w:i w:val="0"/>
              </w:rPr>
              <w:t>Lê Văn Chất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