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474/1999/QĐ-BGTVT Về cho phép tàu biển và tàu sông Việt Nam và nước ngoài ra, vào cầu cảng Caltex của Công ty trách nhiệm hữu hạn nhựa đường Caltex Việt Nam</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474/1999/QĐ-BGTVT</w:t>
      </w:r>
      <w:r>
        <w:rPr>
          <w:b w:val="0"/>
          <w:i w:val="0"/>
        </w:rPr>
        <w:br/>
      </w:r>
      <w:r>
        <w:rPr>
          <w:b w:val="0"/>
          <w:i w:val="0"/>
        </w:rPr>
        <w:br/>
      </w:r>
      <w:r>
        <w:rPr>
          <w:b w:val="0"/>
          <w:i/>
        </w:rPr>
        <w:br/>
      </w:r>
      <w:r>
        <w:rPr>
          <w:b w:val="0"/>
          <w:i/>
        </w:rPr>
        <w:t>Hà Nội, ngày 13 tháng 2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474/1999/QĐ-BGTVT</w:t>
      </w:r>
      <w:r>
        <w:rPr>
          <w:b w:val="0"/>
          <w:i w:val="0"/>
        </w:rPr>
        <w:br/>
      </w:r>
      <w:r>
        <w:rPr>
          <w:b w:val="0"/>
          <w:i w:val="0"/>
        </w:rPr>
        <w:br/>
      </w:r>
      <w:r>
        <w:rPr>
          <w:b w:val="0"/>
          <w:i/>
        </w:rPr>
        <w:br/>
      </w:r>
      <w:r>
        <w:rPr>
          <w:b w:val="0"/>
          <w:i/>
        </w:rPr>
        <w:t>Hà Nội, ngày 13 tháng 2 năm 1999</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474/1999/QĐ-BGTVT</w:t>
      </w:r>
      <w:r>
        <w:rPr>
          <w:b w:val="0"/>
          <w:i w:val="0"/>
        </w:rPr>
        <w:br/>
      </w:r>
      <w:r>
        <w:rPr>
          <w:b w:val="0"/>
          <w:i w:val="0"/>
        </w:rPr>
        <w:br/>
      </w:r>
      <w:r>
        <w:rPr>
          <w:b w:val="0"/>
          <w:i/>
        </w:rPr>
        <w:br/>
      </w:r>
      <w:r>
        <w:rPr>
          <w:b w:val="0"/>
          <w:i/>
        </w:rPr>
        <w:t>Hà Nội, ngày 13 tháng 2 năm 1999</w:t>
      </w:r>
      <w:r>
        <w:rPr>
          <w:b w:val="0"/>
          <w:i/>
        </w:rPr>
        <w:br/>
      </w:r>
      <w:r>
        <w:rPr>
          <w:b w:val="0"/>
          <w:i w:val="0"/>
        </w:rPr>
        <w:br/>
      </w:r>
    </w:p>
    <w:p>
      <w:pPr>
        <w:jc w:val="center"/>
      </w:pPr>
      <w:r>
        <w:rPr>
          <w:b w:val="0"/>
          <w:i w:val="0"/>
        </w:rPr>
        <w:br/>
      </w:r>
      <w:r>
        <w:rPr>
          <w:b w:val="0"/>
          <w:i w:val="0"/>
        </w:rPr>
        <w:t>Số: 474/1999/QĐ-BGTVT</w:t>
      </w:r>
      <w:r>
        <w:rPr>
          <w:b w:val="0"/>
          <w:i w:val="0"/>
        </w:rPr>
        <w:br/>
      </w:r>
    </w:p>
    <w:p>
      <w:pPr>
        <w:jc w:val="center"/>
      </w:pPr>
      <w:r>
        <w:rPr>
          <w:b w:val="0"/>
          <w:i w:val="0"/>
        </w:rPr>
        <w:br/>
      </w:r>
      <w:r>
        <w:rPr>
          <w:b w:val="0"/>
          <w:i w:val="0"/>
        </w:rPr>
        <w:t>Hà Nội, ngày 13 tháng 2 năm 1999</w:t>
      </w:r>
      <w:r>
        <w:rPr>
          <w:b w:val="0"/>
          <w:i w:val="0"/>
        </w:rPr>
        <w:br/>
      </w:r>
    </w:p>
    <w:p>
      <w:r>
        <w:rPr>
          <w:b w:val="0"/>
          <w:i w:val="0"/>
        </w:rPr>
        <w:br/>
      </w:r>
      <w:r>
        <w:rPr>
          <w:b/>
          <w:i w:val="0"/>
        </w:rPr>
        <w:t xml:space="preserve">QUYẾT ĐỊNH </w:t>
      </w:r>
      <w:r>
        <w:rPr>
          <w:b w:val="0"/>
          <w:i w:val="0"/>
        </w:rPr>
        <w:br/>
      </w:r>
      <w:r>
        <w:rPr>
          <w:b/>
          <w:i w:val="0"/>
        </w:rPr>
        <w:t xml:space="preserve">Về việc cho phép tàu biển và tàu sông Việt Nam và nước ngoài ra, vào cầu cảng Caltex </w:t>
      </w:r>
      <w:r>
        <w:rPr>
          <w:b/>
          <w:i w:val="0"/>
        </w:rPr>
        <w:t>của Công ty trách nhiệm hữu hạn nhựa đường Caltex Việt Nam</w:t>
      </w:r>
      <w:r>
        <w:rPr>
          <w:b w:val="0"/>
          <w:i w:val="0"/>
        </w:rPr>
        <w:br/>
      </w:r>
      <w:r>
        <w:rPr>
          <w:b w:val="0"/>
          <w:i w:val="0"/>
        </w:rPr>
        <w:t xml:space="preserve"> </w:t>
      </w:r>
      <w:r>
        <w:rPr>
          <w:b/>
          <w:i w:val="0"/>
        </w:rPr>
        <w:t>__________________________</w:t>
      </w:r>
      <w:r>
        <w:rPr>
          <w:b w:val="0"/>
          <w:i w:val="0"/>
        </w:rPr>
        <w:br/>
      </w:r>
      <w:r>
        <w:rPr>
          <w:b/>
          <w:i w:val="0"/>
        </w:rPr>
        <w:t>BỘ TRƯỞNG BỘ GIAO THÔNG VẬN TẢI</w:t>
      </w:r>
      <w:r>
        <w:rPr>
          <w:b w:val="0"/>
          <w:i w:val="0"/>
        </w:rPr>
        <w:br/>
      </w:r>
      <w:r>
        <w:rPr>
          <w:b w:val="0"/>
          <w:i/>
        </w:rPr>
        <w:t xml:space="preserve">Căn cứ Nghị định số 22/CP ngày 22/03/1994 của Chính phủ quy định nhiệm vụ, quyền hạn, trách nhiệm quản lý Nhà nước và cơ cấu bộ máy của Bộ Giao thông vận tải; </w:t>
      </w:r>
      <w:r>
        <w:rPr>
          <w:b w:val="0"/>
          <w:i w:val="0"/>
        </w:rPr>
        <w:br/>
      </w:r>
      <w:r>
        <w:rPr>
          <w:b w:val="0"/>
          <w:i/>
        </w:rPr>
        <w:t>Căn cứ các hồ sơ và kết quả giám định của các cơ quan quản lý Nhà nước có thẩm quyền về cầu cảng chuyên dùng Caltex của Công ty TNHH nhựa đường Caltex Việt Nam;</w:t>
      </w:r>
      <w:r>
        <w:rPr>
          <w:b w:val="0"/>
          <w:i w:val="0"/>
        </w:rPr>
        <w:br/>
      </w:r>
      <w:r>
        <w:rPr>
          <w:b w:val="0"/>
          <w:i/>
        </w:rPr>
        <w:t>Xét đề nghị của Vụ trưởng Vụ Pháp chế vận tải;</w:t>
      </w:r>
      <w:r>
        <w:rPr>
          <w:b w:val="0"/>
          <w:i w:val="0"/>
        </w:rPr>
        <w:br/>
      </w:r>
      <w:r>
        <w:rPr>
          <w:b w:val="0"/>
          <w:i w:val="0"/>
        </w:rPr>
        <w:t xml:space="preserve"> </w:t>
      </w:r>
      <w:r>
        <w:rPr>
          <w:b w:val="0"/>
          <w:i w:val="0"/>
        </w:rPr>
        <w:br/>
      </w:r>
      <w:r>
        <w:rPr>
          <w:b/>
          <w:i w:val="0"/>
        </w:rPr>
        <w:t>QUYẾT ĐỊNH:</w:t>
      </w:r>
      <w:r>
        <w:rPr>
          <w:b w:val="0"/>
          <w:i w:val="0"/>
        </w:rPr>
        <w:br/>
      </w:r>
      <w:r>
        <w:rPr>
          <w:b/>
          <w:i w:val="0"/>
        </w:rPr>
        <w:t>Điều 1:</w:t>
      </w:r>
      <w:r>
        <w:rPr>
          <w:b w:val="0"/>
          <w:i w:val="0"/>
        </w:rPr>
        <w:br/>
      </w:r>
      <w:r>
        <w:rPr>
          <w:b w:val="0"/>
          <w:i w:val="0"/>
        </w:rPr>
        <w:t>Cho phép tàu biển và tàu sông của Việt Nam và nước ngoài chuyên chở nhựa đường lỏng có mớn nước không quá 5 mét và có trọng tải không quá 4000 DWT được ra, vào và làm hàng tại cầu cảng chuyên dùng Caltex của Công ty TNHH nhựa đường Caltex Việt Nam trên sông Giá thuộc xã Tam Hưng, huyện Thuỷ Nguyên, thành phố Hải Phòng.</w:t>
      </w:r>
      <w:r>
        <w:rPr>
          <w:b w:val="0"/>
          <w:i w:val="0"/>
        </w:rPr>
        <w:br/>
      </w:r>
      <w:r>
        <w:rPr>
          <w:b/>
          <w:i w:val="0"/>
        </w:rPr>
        <w:t>Điều 2:</w:t>
      </w:r>
      <w:r>
        <w:rPr>
          <w:b w:val="0"/>
          <w:i w:val="0"/>
        </w:rPr>
        <w:br/>
      </w:r>
      <w:r>
        <w:rPr>
          <w:b w:val="0"/>
          <w:i w:val="0"/>
        </w:rPr>
        <w:t>Căn cứ mực nước thuỷ triều cụ thể trên sông Bạch Đằng và sông Giá, cơ quan Cảng vụ xem xét và quyết định việc cho phép tàu biển và tàu sông quy định tại Điều 1 Quyết định này ra, vào và làm hàng tại cầu cảng Caltex.</w:t>
      </w:r>
      <w:r>
        <w:rPr>
          <w:b w:val="0"/>
          <w:i w:val="0"/>
        </w:rPr>
        <w:br/>
      </w:r>
      <w:r>
        <w:rPr>
          <w:b/>
          <w:i w:val="0"/>
        </w:rPr>
        <w:t>Điều 3:</w:t>
      </w:r>
      <w:r>
        <w:rPr>
          <w:b w:val="0"/>
          <w:i w:val="0"/>
        </w:rPr>
        <w:br/>
      </w:r>
      <w:r>
        <w:rPr>
          <w:b w:val="0"/>
          <w:i w:val="0"/>
        </w:rPr>
        <w:t>Cục Hàng hải Việt Nam và Cục Đường sông Việt Nam chỉ đạo Cảng vụ Hải Phòng, Cảng vụ Đường thuỷ nội địa khu vực I phối hợp chặt chẽ và tạo điều kiện để đưa tàu ra, vào cầu cảng chuyên dùng Caltex theo đúng pháp luật quy định.</w:t>
      </w:r>
      <w:r>
        <w:rPr>
          <w:b w:val="0"/>
          <w:i w:val="0"/>
        </w:rPr>
        <w:br/>
      </w:r>
      <w:r>
        <w:rPr>
          <w:b/>
          <w:i w:val="0"/>
        </w:rPr>
        <w:t>Điều 4:</w:t>
      </w:r>
      <w:r>
        <w:rPr>
          <w:b w:val="0"/>
          <w:i w:val="0"/>
        </w:rPr>
        <w:br/>
      </w:r>
      <w:r>
        <w:rPr>
          <w:b w:val="0"/>
          <w:i w:val="0"/>
        </w:rPr>
        <w:t>1- Trong vùng nước thuộc phạm vi trách nhiệm, cơ quan thực hiện chức năng quản lý Nhà nước đối với tàu biển và tàu sông ra, vào cầu cảng chuyên dùng Caltex và được thu các khoản phí sau đây:</w:t>
      </w:r>
      <w:r>
        <w:rPr>
          <w:b w:val="0"/>
          <w:i w:val="0"/>
        </w:rPr>
        <w:br/>
      </w:r>
      <w:r>
        <w:rPr>
          <w:b w:val="0"/>
          <w:i w:val="0"/>
        </w:rPr>
        <w:t>Trọng tải phí, Thủ tục phí</w:t>
      </w:r>
      <w:r>
        <w:rPr>
          <w:b w:val="0"/>
          <w:i w:val="0"/>
        </w:rPr>
        <w:br/>
      </w:r>
      <w:r>
        <w:rPr>
          <w:b w:val="0"/>
          <w:i w:val="0"/>
        </w:rPr>
        <w:t>Phí luồng lạch hoặc phí bảo đảm an toàn hàng hải</w:t>
      </w:r>
      <w:r>
        <w:rPr>
          <w:b w:val="0"/>
          <w:i w:val="0"/>
        </w:rPr>
        <w:br/>
      </w:r>
      <w:r>
        <w:rPr>
          <w:b w:val="0"/>
          <w:i w:val="0"/>
        </w:rPr>
        <w:t>Các loại phí khác theo quy định pháp luật.</w:t>
      </w:r>
      <w:r>
        <w:rPr>
          <w:b w:val="0"/>
          <w:i w:val="0"/>
        </w:rPr>
        <w:br/>
      </w:r>
      <w:r>
        <w:rPr>
          <w:b w:val="0"/>
          <w:i w:val="0"/>
        </w:rPr>
        <w:t>2- Công ty TNHH nhựa đường Caltex Việt Nam chịu trách nhiệm đầu tư phương tiện, thiết bị; duy tu sửa chữa cầu cảng; nạo vét vùng nước trước cầu cảng, tham gia nạo vét luồng vào cầu cảng; duy trì báo hiệu; đảm bảo an toàn phòng chống cháy nổ và môi trường của cầu cảng theo quy định pháp luật và được thu các khoản cước, phí sau:</w:t>
      </w:r>
      <w:r>
        <w:rPr>
          <w:b w:val="0"/>
          <w:i w:val="0"/>
        </w:rPr>
        <w:br/>
      </w:r>
      <w:r>
        <w:rPr>
          <w:b w:val="0"/>
          <w:i w:val="0"/>
        </w:rPr>
        <w:t>Phí cầu cảng</w:t>
      </w:r>
      <w:r>
        <w:rPr>
          <w:b w:val="0"/>
          <w:i w:val="0"/>
        </w:rPr>
        <w:br/>
      </w:r>
      <w:r>
        <w:rPr>
          <w:b w:val="0"/>
          <w:i w:val="0"/>
        </w:rPr>
        <w:t>Các loại cước phí khác theo quy định, nếu Công ty trực tiếp cung ứng dịch vụ.</w:t>
      </w:r>
      <w:r>
        <w:rPr>
          <w:b w:val="0"/>
          <w:i w:val="0"/>
        </w:rPr>
        <w:br/>
      </w:r>
      <w:r>
        <w:rPr>
          <w:b/>
          <w:i w:val="0"/>
        </w:rPr>
        <w:t>Điều 5:</w:t>
      </w:r>
      <w:r>
        <w:rPr>
          <w:b w:val="0"/>
          <w:i w:val="0"/>
        </w:rPr>
        <w:br/>
      </w:r>
      <w:r>
        <w:rPr>
          <w:b w:val="0"/>
          <w:i w:val="0"/>
        </w:rPr>
        <w:t xml:space="preserve">Quyết định này có hiệu lực sau 15 ngày kể từ ngày ký. </w:t>
      </w:r>
      <w:r>
        <w:rPr>
          <w:b w:val="0"/>
          <w:i w:val="0"/>
        </w:rPr>
        <w:br/>
      </w:r>
      <w:r>
        <w:rPr>
          <w:b w:val="0"/>
          <w:i w:val="0"/>
        </w:rPr>
        <w:t>Các quy định trước đây trái với Quyết định này đều bãi bỏ.</w:t>
      </w:r>
      <w:r>
        <w:rPr>
          <w:b w:val="0"/>
          <w:i w:val="0"/>
        </w:rPr>
        <w:br/>
      </w:r>
      <w:r>
        <w:rPr>
          <w:b/>
          <w:i w:val="0"/>
        </w:rPr>
        <w:t>Điều 6</w:t>
      </w:r>
      <w:r>
        <w:rPr>
          <w:b w:val="0"/>
          <w:i w:val="0"/>
        </w:rPr>
        <w:br/>
      </w:r>
      <w:r>
        <w:rPr>
          <w:b w:val="0"/>
          <w:i w:val="0"/>
        </w:rPr>
        <w:t>Các ông Chánh Văn phòng Bộ, Vụ trưởng Vụ pháp chế, Cục trưởng Cục Đường sông Việt Nam, Cục trưởng Cục Hàng hải Việt Nam, Giám đốc Công ty TNHH nhựa đường Caltex Việt Nam và Thủ trưởng các cơ quan, tổ chức có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Đào Đình Bình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Đào Đình Bình</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Đào Đình Bình</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Đào Đình Bình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