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476/2002/QĐ-TCBĐ Của Tổng cục trưởng Tổng cục Bưu điện về việc ban hành bảng cước dịch vụ điện thoại quốc tế</w:t>
      </w:r>
    </w:p>
    <w:p>
      <w:r>
        <w:rPr>
          <w:b w:val="0"/>
          <w:i w:val="0"/>
        </w:rPr>
        <w:br/>
      </w:r>
      <w:r>
        <w:rPr>
          <w:b w:val="0"/>
          <w:i w:val="0"/>
        </w:rPr>
        <w:br/>
      </w:r>
      <w:r>
        <w:rPr>
          <w:b w:val="0"/>
          <w:i w:val="0"/>
        </w:rPr>
        <w:br/>
      </w:r>
      <w:r>
        <w:rPr>
          <w:b/>
          <w:i w:val="0"/>
        </w:rPr>
        <w:br/>
      </w:r>
      <w:r>
        <w:rPr>
          <w:b/>
          <w:i w:val="0"/>
        </w:rPr>
        <w:br/>
      </w:r>
      <w:r>
        <w:rPr>
          <w:b/>
          <w:i w:val="0"/>
        </w:rPr>
        <w:t>TỔNG CỤC BƯU ĐIỆN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476/2002/QĐ-TCBĐ</w:t>
      </w:r>
      <w:r>
        <w:rPr>
          <w:b w:val="0"/>
          <w:i w:val="0"/>
        </w:rPr>
        <w:br/>
      </w:r>
      <w:r>
        <w:rPr>
          <w:b w:val="0"/>
          <w:i w:val="0"/>
        </w:rPr>
        <w:br/>
      </w:r>
      <w:r>
        <w:rPr>
          <w:b w:val="0"/>
          <w:i/>
        </w:rPr>
        <w:br/>
      </w:r>
      <w:r>
        <w:rPr>
          <w:b w:val="0"/>
          <w:i/>
        </w:rPr>
        <w:t>Hà Nội, Ngày 13 tháng 6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TỔNG CỤC BƯU ĐIỆN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476/2002/QĐ-TCBĐ</w:t>
      </w:r>
      <w:r>
        <w:rPr>
          <w:b w:val="0"/>
          <w:i w:val="0"/>
        </w:rPr>
        <w:br/>
      </w:r>
      <w:r>
        <w:rPr>
          <w:b w:val="0"/>
          <w:i w:val="0"/>
        </w:rPr>
        <w:br/>
      </w:r>
      <w:r>
        <w:rPr>
          <w:b w:val="0"/>
          <w:i/>
        </w:rPr>
        <w:br/>
      </w:r>
      <w:r>
        <w:rPr>
          <w:b w:val="0"/>
          <w:i/>
        </w:rPr>
        <w:t>Hà Nội, Ngày 13 tháng 6 năm 2002</w:t>
      </w:r>
      <w:r>
        <w:rPr>
          <w:b w:val="0"/>
          <w:i/>
        </w:rPr>
        <w:br/>
      </w:r>
      <w:r>
        <w:rPr>
          <w:b w:val="0"/>
          <w:i w:val="0"/>
        </w:rPr>
        <w:br/>
      </w:r>
      <w:r>
        <w:rPr>
          <w:b w:val="0"/>
          <w:i w:val="0"/>
        </w:rPr>
        <w:br/>
      </w:r>
    </w:p>
    <w:p>
      <w:r>
        <w:rPr>
          <w:b w:val="0"/>
          <w:i w:val="0"/>
        </w:rPr>
        <w:br/>
      </w:r>
      <w:r>
        <w:rPr>
          <w:b/>
          <w:i w:val="0"/>
        </w:rPr>
        <w:br/>
      </w:r>
      <w:r>
        <w:rPr>
          <w:b/>
          <w:i w:val="0"/>
        </w:rPr>
        <w:br/>
      </w:r>
      <w:r>
        <w:rPr>
          <w:b/>
          <w:i w:val="0"/>
        </w:rPr>
        <w:t>TỔNG CỤC BƯU ĐIỆN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TỔNG CỤC BƯU ĐIỆN</w:t>
      </w:r>
      <w:r>
        <w:rPr>
          <w:b w:val="0"/>
          <w:i w:val="0"/>
        </w:rPr>
        <w:br/>
      </w:r>
      <w:r>
        <w:rPr>
          <w:b w:val="0"/>
          <w:i w:val="0"/>
        </w:rPr>
        <w:br/>
      </w:r>
      <w:r>
        <w:rPr>
          <w:b w:val="0"/>
          <w:i w:val="0"/>
        </w:rPr>
        <w:br/>
      </w:r>
    </w:p>
    <w:p>
      <w:r>
        <w:rPr>
          <w:b w:val="0"/>
          <w:i w:val="0"/>
        </w:rPr>
        <w:br/>
      </w:r>
      <w:r>
        <w:rPr>
          <w:b w:val="0"/>
          <w:i w:val="0"/>
        </w:rPr>
        <w:t>TỔNG CỤC BƯU ĐIỆN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476/2002/QĐ-TCBĐ</w:t>
      </w:r>
      <w:r>
        <w:rPr>
          <w:b w:val="0"/>
          <w:i w:val="0"/>
        </w:rPr>
        <w:br/>
      </w:r>
      <w:r>
        <w:rPr>
          <w:b w:val="0"/>
          <w:i w:val="0"/>
        </w:rPr>
        <w:br/>
      </w:r>
      <w:r>
        <w:rPr>
          <w:b w:val="0"/>
          <w:i/>
        </w:rPr>
        <w:br/>
      </w:r>
      <w:r>
        <w:rPr>
          <w:b w:val="0"/>
          <w:i/>
        </w:rPr>
        <w:t>Hà Nội, Ngày 13 tháng 6 năm 2002</w:t>
      </w:r>
      <w:r>
        <w:rPr>
          <w:b w:val="0"/>
          <w:i/>
        </w:rPr>
        <w:br/>
      </w:r>
      <w:r>
        <w:rPr>
          <w:b w:val="0"/>
          <w:i w:val="0"/>
        </w:rPr>
        <w:br/>
      </w:r>
    </w:p>
    <w:p>
      <w:pPr>
        <w:jc w:val="center"/>
      </w:pPr>
      <w:r>
        <w:rPr>
          <w:b w:val="0"/>
          <w:i w:val="0"/>
        </w:rPr>
        <w:br/>
      </w:r>
      <w:r>
        <w:rPr>
          <w:b w:val="0"/>
          <w:i w:val="0"/>
        </w:rPr>
        <w:t>Số: 476/2002/QĐ-TCBĐ</w:t>
      </w:r>
      <w:r>
        <w:rPr>
          <w:b w:val="0"/>
          <w:i w:val="0"/>
        </w:rPr>
        <w:br/>
      </w:r>
    </w:p>
    <w:p>
      <w:pPr>
        <w:jc w:val="center"/>
      </w:pPr>
      <w:r>
        <w:rPr>
          <w:b w:val="0"/>
          <w:i w:val="0"/>
        </w:rPr>
        <w:br/>
      </w:r>
      <w:r>
        <w:rPr>
          <w:b w:val="0"/>
          <w:i w:val="0"/>
        </w:rPr>
        <w:t>Hà Nội, Ngày 13 tháng 6 năm 2002</w:t>
      </w:r>
      <w:r>
        <w:rPr>
          <w:b w:val="0"/>
          <w:i w:val="0"/>
        </w:rPr>
        <w:br/>
      </w:r>
    </w:p>
    <w:p>
      <w:r>
        <w:rPr>
          <w:b/>
          <w:i w:val="0"/>
        </w:rPr>
        <w:t xml:space="preserve">QUYẾT ĐỊNH </w:t>
      </w:r>
    </w:p>
    <w:p>
      <w:r>
        <w:rPr>
          <w:b/>
          <w:i w:val="0"/>
        </w:rPr>
        <w:t xml:space="preserve">Của Tổng cục trưởng Tổng cục Bưu điện số 476/2002/QĐ-TCBĐ ngày 13 </w:t>
      </w:r>
      <w:r>
        <w:br/>
      </w:r>
      <w:r>
        <w:rPr>
          <w:b/>
          <w:i w:val="0"/>
        </w:rPr>
        <w:br/>
        <w:t xml:space="preserve">      tháng 6 năm 2002 về việc ban hành bảng cước dịch vụ điện thoại quốc tế</w:t>
      </w:r>
    </w:p>
    <w:p>
      <w:r>
        <w:rPr>
          <w:b/>
          <w:i w:val="0"/>
        </w:rPr>
        <w:t>________________________</w:t>
      </w:r>
    </w:p>
    <w:p>
      <w:r>
        <w:rPr>
          <w:b/>
          <w:i w:val="0"/>
        </w:rPr>
        <w:t>TỔNG CỤC TRƯỞNG TỔNG CỤC BƯU ĐIỆN</w:t>
      </w:r>
    </w:p>
    <w:p>
      <w:r>
        <w:rPr>
          <w:b w:val="0"/>
          <w:i/>
        </w:rPr>
        <w:t>Căn cứ Nghị định số 12/CP ngày 11/3/1996 của Chính phủ về chức năng, nhiệm vụ, quyền hạn và tổ chức bộ máy của Tổng cục Bưu điện;</w:t>
      </w:r>
    </w:p>
    <w:p>
      <w:r>
        <w:rPr>
          <w:b w:val="0"/>
          <w:i/>
        </w:rPr>
        <w:t>Căn cứ Nghị định số 109/1997/NĐ-CP ngày 12/11/1997 của Chính phủ về Bưu chính và Viễn thông;</w:t>
      </w:r>
    </w:p>
    <w:p>
      <w:r>
        <w:rPr>
          <w:b w:val="0"/>
          <w:i/>
        </w:rPr>
        <w:t>Căn cứ Quyết định số 99/1998/QĐ-TTg ngày 26/5/1998 của Thủ tướng Chính phủ về quản lý giá và cước bưu chính viễn thông;</w:t>
      </w:r>
    </w:p>
    <w:p>
      <w:r>
        <w:rPr>
          <w:b w:val="0"/>
          <w:i/>
        </w:rPr>
        <w:t>Căn cứ Thông tư số 03/1999/TT-TCBĐ ngày 11/5/1999 của Tổng cục Bưu điện hướng dẫn thực hiện Nghị định số 109/1997/NĐ-CP ngày 12/11/1997 của Chính phủ về bưu chính và viễn thông và Quyết định số 99/1998/QĐ-TTg ngày 26/5/1998 của Thủ tướng Chính phủ về quản lý giá và cước bưu chính, viễn thông;</w:t>
      </w:r>
    </w:p>
    <w:p>
      <w:r>
        <w:rPr>
          <w:b w:val="0"/>
          <w:i/>
        </w:rPr>
        <w:t>Xét đề nghị của Tổng công ty Bưu chính Viễn thông Việt Nam tại Công văn số 2662/GCTT ngày 23/5/2002 về việc phương án giảm cước viễn thông quốc tế.</w:t>
      </w:r>
    </w:p>
    <w:p>
      <w:r>
        <w:rPr>
          <w:b w:val="0"/>
          <w:i/>
        </w:rPr>
        <w:t>Theo đề nghị của Vụ trưởng Vụ Kinh tế- Kế hoạch</w:t>
      </w:r>
    </w:p>
    <w:p>
      <w:r>
        <w:rPr>
          <w:b/>
          <w:i w:val="0"/>
        </w:rPr>
        <w:t>QUYẾT ĐỊNH</w:t>
      </w:r>
    </w:p>
    <w:p>
      <w:r>
        <w:rPr>
          <w:b/>
          <w:i w:val="0"/>
        </w:rPr>
        <w:t xml:space="preserve">Điều 1. </w:t>
      </w:r>
      <w:r>
        <w:rPr>
          <w:b w:val="0"/>
          <w:i w:val="0"/>
        </w:rPr>
        <w:t>Nay ban hành kèm theo quyết định này bảng cước dịch vụ điện thoại quốc tế.</w:t>
      </w:r>
    </w:p>
    <w:p>
      <w:r>
        <w:rPr>
          <w:b/>
          <w:i w:val="0"/>
        </w:rPr>
        <w:t xml:space="preserve">Điều 2. </w:t>
      </w:r>
      <w:r>
        <w:rPr>
          <w:b w:val="0"/>
          <w:i w:val="0"/>
        </w:rPr>
        <w:t>Quyết định này có hiệu lực thi hành kể từ ngày 01/07/2002. Các quy định trước đây trái với Quyết định này đều bị bãi bỏ.</w:t>
      </w:r>
    </w:p>
    <w:p>
      <w:r>
        <w:rPr>
          <w:b/>
          <w:i w:val="0"/>
        </w:rPr>
        <w:t xml:space="preserve">Điều 3. </w:t>
      </w:r>
      <w:r>
        <w:rPr>
          <w:b w:val="0"/>
          <w:i w:val="0"/>
        </w:rPr>
        <w:t>Chánh Văn phòng, Vụ trưởng Vụ Kinh tế - Kế hoạch, Thủ trưởng các đơn vị thuộc Tổng cục Bưu điện, Tổng giám đốc Tổng công ty Bưu chính viễn thông Việt Nam và thủ trưởng các đơn vị có liên quan chịu trách nhiệm thi hành quyết định này.</w:t>
      </w:r>
    </w:p>
    <w:p>
      <w:r>
        <w:rPr>
          <w:b w:val="0"/>
          <w:i w:val="0"/>
        </w:rPr>
        <w:br/>
      </w:r>
      <w:r>
        <w:rPr>
          <w:b w:val="0"/>
          <w:i w:val="0"/>
        </w:rPr>
        <w:br/>
      </w:r>
      <w:r>
        <w:rPr>
          <w:b/>
          <w:i w:val="0"/>
        </w:rPr>
        <w:br/>
      </w:r>
      <w:r>
        <w:rPr>
          <w:b/>
          <w:i w:val="0"/>
        </w:rPr>
        <w:br/>
      </w:r>
      <w:r>
        <w:rPr>
          <w:b/>
          <w:i w:val="0"/>
        </w:rPr>
        <w:t>TỔNG CỤC TRƯỞNG</w:t>
      </w:r>
      <w:r>
        <w:rPr>
          <w:b/>
          <w:i w:val="0"/>
        </w:rPr>
        <w:br/>
      </w:r>
      <w:r>
        <w:rPr>
          <w:b/>
          <w:i w:val="0"/>
        </w:rPr>
        <w:br/>
      </w:r>
      <w:r>
        <w:rPr>
          <w:b/>
          <w:i/>
        </w:rPr>
        <w:br/>
      </w:r>
      <w:r>
        <w:rPr>
          <w:b/>
          <w:i/>
        </w:rPr>
        <w:t>(Đã ký)</w:t>
      </w:r>
      <w:r>
        <w:rPr>
          <w:b/>
          <w:i/>
        </w:rPr>
        <w:br/>
      </w:r>
      <w:r>
        <w:rPr>
          <w:b/>
          <w:i w:val="0"/>
        </w:rPr>
        <w:br/>
      </w:r>
      <w:r>
        <w:rPr>
          <w:b/>
          <w:i w:val="0"/>
        </w:rPr>
        <w:br/>
      </w:r>
      <w:r>
        <w:rPr>
          <w:b/>
          <w:i w:val="0"/>
        </w:rPr>
        <w:t>Mai Liêm Trực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TỔNG CỤC TRƯỞNG</w:t>
      </w:r>
      <w:r>
        <w:rPr>
          <w:b/>
          <w:i w:val="0"/>
        </w:rPr>
        <w:br/>
      </w:r>
      <w:r>
        <w:rPr>
          <w:b/>
          <w:i w:val="0"/>
        </w:rPr>
        <w:br/>
      </w:r>
      <w:r>
        <w:rPr>
          <w:b/>
          <w:i/>
        </w:rPr>
        <w:br/>
      </w:r>
      <w:r>
        <w:rPr>
          <w:b/>
          <w:i/>
        </w:rPr>
        <w:t>(Đã ký)</w:t>
      </w:r>
      <w:r>
        <w:rPr>
          <w:b/>
          <w:i/>
        </w:rPr>
        <w:br/>
      </w:r>
      <w:r>
        <w:rPr>
          <w:b/>
          <w:i w:val="0"/>
        </w:rPr>
        <w:br/>
      </w:r>
      <w:r>
        <w:rPr>
          <w:b/>
          <w:i w:val="0"/>
        </w:rPr>
        <w:br/>
      </w:r>
      <w:r>
        <w:rPr>
          <w:b/>
          <w:i w:val="0"/>
        </w:rPr>
        <w:t>Mai Liêm Trực</w:t>
      </w:r>
      <w:r>
        <w:rPr>
          <w:b/>
          <w:i w:val="0"/>
        </w:rPr>
        <w:br/>
      </w:r>
      <w:r>
        <w:rPr>
          <w:b/>
          <w:i w:val="0"/>
        </w:rPr>
        <w:br/>
      </w:r>
      <w:r>
        <w:rPr>
          <w:b w:val="0"/>
          <w:i w:val="0"/>
        </w:rPr>
        <w:br/>
      </w:r>
    </w:p>
    <w:p>
      <w:pPr>
        <w:jc w:val="center"/>
      </w:pPr>
      <w:r>
        <w:rPr>
          <w:b w:val="0"/>
          <w:i w:val="0"/>
        </w:rPr>
        <w:br/>
      </w:r>
      <w:r>
        <w:rPr>
          <w:b/>
          <w:i w:val="0"/>
        </w:rPr>
        <w:br/>
      </w:r>
      <w:r>
        <w:rPr>
          <w:b/>
          <w:i w:val="0"/>
        </w:rPr>
        <w:t>TỔNG CỤC TRƯỞNG</w:t>
      </w:r>
      <w:r>
        <w:rPr>
          <w:b/>
          <w:i w:val="0"/>
        </w:rPr>
        <w:br/>
      </w:r>
      <w:r>
        <w:rPr>
          <w:b w:val="0"/>
          <w:i w:val="0"/>
        </w:rPr>
        <w:br/>
      </w:r>
      <w:r>
        <w:rPr>
          <w:b/>
          <w:i/>
        </w:rPr>
        <w:br/>
      </w:r>
      <w:r>
        <w:rPr>
          <w:b/>
          <w:i/>
        </w:rPr>
        <w:t>(Đã ký)</w:t>
      </w:r>
      <w:r>
        <w:rPr>
          <w:b/>
          <w:i/>
        </w:rPr>
        <w:br/>
      </w:r>
      <w:r>
        <w:rPr>
          <w:b w:val="0"/>
          <w:i w:val="0"/>
        </w:rPr>
        <w:br/>
      </w:r>
      <w:r>
        <w:rPr>
          <w:b/>
          <w:i w:val="0"/>
        </w:rPr>
        <w:br/>
      </w:r>
      <w:r>
        <w:rPr>
          <w:b/>
          <w:i w:val="0"/>
        </w:rPr>
        <w:t>Mai Liêm Trực</w:t>
      </w:r>
      <w:r>
        <w:rPr>
          <w:b/>
          <w:i w:val="0"/>
        </w:rPr>
        <w:br/>
      </w:r>
      <w:r>
        <w:rPr>
          <w:b w:val="0"/>
          <w:i w:val="0"/>
        </w:rPr>
        <w:br/>
      </w:r>
    </w:p>
    <w:p>
      <w:r>
        <w:rPr>
          <w:b w:val="0"/>
          <w:i w:val="0"/>
        </w:rPr>
        <w:br/>
      </w:r>
      <w:r>
        <w:rPr>
          <w:b w:val="0"/>
          <w:i w:val="0"/>
        </w:rPr>
        <w:t>TỔNG CỤC TRƯỞNG</w:t>
      </w:r>
      <w:r>
        <w:rPr>
          <w:b w:val="0"/>
          <w:i w:val="0"/>
        </w:rPr>
        <w:br/>
      </w:r>
    </w:p>
    <w:p>
      <w:r>
        <w:rPr>
          <w:b w:val="0"/>
          <w:i w:val="0"/>
        </w:rPr>
        <w:br/>
      </w:r>
      <w:r>
        <w:rPr>
          <w:b w:val="0"/>
          <w:i w:val="0"/>
        </w:rPr>
        <w:t>(Đã ký)</w:t>
      </w:r>
      <w:r>
        <w:rPr>
          <w:b w:val="0"/>
          <w:i w:val="0"/>
        </w:rPr>
        <w:br/>
      </w:r>
    </w:p>
    <w:p>
      <w:r>
        <w:rPr>
          <w:b w:val="0"/>
          <w:i w:val="0"/>
        </w:rPr>
        <w:br/>
      </w:r>
      <w:r>
        <w:rPr>
          <w:b w:val="0"/>
          <w:i w:val="0"/>
        </w:rPr>
        <w:t>Mai Liêm Trực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