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47/2004/QĐ-BCN Về việc sửa đổi khoản 1, khoản 3 Điều 1 Quyết định 21/2004/QĐ-BCN ngày 30 tháng 3 năm 2004 của Bộ trưởng Bộ Công nghiệp về việc chuyển Công ty Bóng đèn Phích nước Rạng Đông thành Công ty cổ phần Bóng đèn Phích nước Rạng Đông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Về việc sửa đổi khoản 1, khoản 3 Điều 1 Quyết định 21/2004/QĐ-BCN ngày 30 tháng 3 năm 2004 </w:t>
      </w:r>
      <w:r>
        <w:rPr>
          <w:b/>
          <w:i w:val="0"/>
        </w:rPr>
        <w:t xml:space="preserve">của Bộ trưởng Bộ Công nghiệp về việc chuyển Công ty Bóng đèn phích nước Rạng Đông </w:t>
      </w:r>
      <w:r>
        <w:rPr>
          <w:b/>
          <w:i w:val="0"/>
        </w:rPr>
        <w:t>thành Công ty cổ phần bóng đèn phích nước Rạng Đông</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Bóng đèn Phích nước Rạng Đông tại Công văn số 1024/TV-RĐ ngày 11 tháng 6 năm 2004; </w:t>
      </w:r>
    </w:p>
    <w:p>
      <w:pPr>
        <w:jc w:val="both"/>
      </w:pPr>
      <w:r>
        <w:rPr>
          <w:b w:val="0"/>
          <w:i/>
        </w:rPr>
        <w:t xml:space="preserve">Theo đề nghị của Ban Đổi mới và Phát triển doanh nghiệp và Vụ trưởng Vụ Tổ chức - Cán bộ, </w:t>
      </w:r>
    </w:p>
    <w:p>
      <w:r>
        <w:rPr>
          <w:b/>
          <w:i w:val="0"/>
        </w:rPr>
        <w:t>QUYẾT ĐỊNH:</w:t>
      </w:r>
    </w:p>
    <w:p>
      <w:pPr>
        <w:jc w:val="both"/>
      </w:pPr>
      <w:r>
        <w:rPr>
          <w:b/>
          <w:i w:val="0"/>
        </w:rPr>
        <w:t xml:space="preserve">Điều 1. </w:t>
      </w:r>
      <w:r>
        <w:rPr>
          <w:b w:val="0"/>
          <w:i w:val="0"/>
        </w:rPr>
        <w:t>Sửa đổi khoản 1, khoản 3 Điều 1 Quyết định 21/2004/QĐ-BCN ngày 30 tháng 3 năm 2004 của Bộ trưởng Bộ Công nghiệp về việc chuyển Công ty Bóng đèn Phích nước Rạng Đông thành Công ty cổ phần Bóng đèn Phích nước Rạng Đông như sau:</w:t>
      </w:r>
    </w:p>
    <w:p>
      <w:pPr>
        <w:jc w:val="both"/>
      </w:pPr>
      <w:r>
        <w:rPr>
          <w:b w:val="0"/>
          <w:i w:val="0"/>
        </w:rPr>
        <w:t>"1. Cơ cấu vốn điều lệ:</w:t>
      </w:r>
    </w:p>
    <w:p>
      <w:pPr>
        <w:jc w:val="both"/>
      </w:pPr>
      <w:r>
        <w:rPr>
          <w:b w:val="0"/>
          <w:i w:val="0"/>
        </w:rPr>
        <w:t>Vốn điều lệ của Công ty cổ phần là 79.150.000.000 đồng (Bảy chín tỷ một trăm năm mươi triệu đồng chẵn).</w:t>
      </w:r>
    </w:p>
    <w:p>
      <w:pPr>
        <w:jc w:val="both"/>
      </w:pPr>
      <w:r>
        <w:rPr>
          <w:b w:val="0"/>
          <w:i w:val="0"/>
        </w:rPr>
        <w:t>- Tỷ lệ cổ phần của Nhà nước: 51,00 %;</w:t>
      </w:r>
    </w:p>
    <w:p>
      <w:pPr>
        <w:jc w:val="both"/>
      </w:pPr>
      <w:r>
        <w:rPr>
          <w:b w:val="0"/>
          <w:i w:val="0"/>
        </w:rPr>
        <w:t>- Tỷ lệ cổ phần bán cho người lao động trong Công ty: 40,91 %;</w:t>
      </w:r>
    </w:p>
    <w:p>
      <w:pPr>
        <w:jc w:val="both"/>
      </w:pPr>
      <w:r>
        <w:rPr>
          <w:b w:val="0"/>
          <w:i w:val="0"/>
        </w:rPr>
        <w:t>- Tỷ lệ cổ phần bán ra ngoài Công ty: 8,09 %.Trị giá một cổ phần : 100.000 đồng."</w:t>
      </w:r>
    </w:p>
    <w:p>
      <w:pPr>
        <w:jc w:val="both"/>
      </w:pPr>
      <w:r>
        <w:rPr>
          <w:b w:val="0"/>
          <w:i w:val="0"/>
        </w:rPr>
        <w:t>"3. Ưu đãi cho người lao động trong Công ty.</w:t>
      </w:r>
    </w:p>
    <w:p>
      <w:pPr>
        <w:jc w:val="both"/>
      </w:pPr>
      <w:r>
        <w:rPr>
          <w:b w:val="0"/>
          <w:i w:val="0"/>
        </w:rPr>
        <w:t>Tổng số cổ phần bán ưu đãi cho 1.346 lao động trong Công ty là 174.333 cổ phần với giá trị được ưu đãi là 5.229.990.000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Giám đốc Công ty Bóng đèn Phích nước Rạng Đông và Chủ tịch Hội đồng quản trị, Giám đốc Công ty cổ phần Bóng đèn Phích nước Rạng Đông chịu trách nhiệm thi hành Quyết định này./.</w:t>
      </w:r>
    </w:p>
    <w:p>
      <w:pPr>
        <w:jc w:val="both"/>
      </w:pPr>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rPr>
        <w:br/>
        <w:t xml:space="preserve">      Nguyễn Xuân Thuý</w:t>
        <w:br/>
        <w:t xml:space="preserve">     </w:t>
      </w:r>
      <w:r>
        <w:rPr>
          <w:b/>
          <w:i w:val="0"/>
        </w:rPr>
        <w:br/>
      </w:r>
      <w:r>
        <w:rPr>
          <w:b w:val="0"/>
          <w:i w:val="0"/>
        </w:rPr>
        <w:br/>
      </w:r>
    </w:p>
    <w:p>
      <w:pPr>
        <w:jc w:val="both"/>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rPr>
        <w:br/>
        <w:t xml:space="preserve">      Nguyễn Xuân Thuý</w:t>
        <w:br/>
        <w:t xml:space="preserve">     </w:t>
      </w:r>
      <w:r>
        <w:rPr>
          <w:b w:val="0"/>
          <w:i w:val="0"/>
        </w:rPr>
        <w:br/>
      </w:r>
    </w:p>
    <w:p>
      <w:pPr>
        <w:jc w:val="center"/>
      </w:pPr>
      <w:r>
        <w:rPr>
          <w:b w:val="0"/>
          <w:i w:val="0"/>
        </w:rPr>
        <w:br/>
        <w:t xml:space="preserve">      KT. BỘ TRƯỞNG BỘ CÔNG NGHIỆP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