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4878/2016/QĐ-UBND Về việc phê duyệt Kế hoạch đầu tư công trung hạn giai đoạn 2016-2020 tỉnh Thanh hóa</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4878/2016/QĐ-UBND</w:t>
        <w:br/>
        <w:t xml:space="preserve">     </w:t>
      </w:r>
      <w:r>
        <w:rPr>
          <w:b w:val="0"/>
          <w:i w:val="0"/>
        </w:rPr>
        <w:br/>
      </w:r>
      <w:r>
        <w:rPr>
          <w:b w:val="0"/>
          <w:i/>
        </w:rPr>
        <w:br/>
        <w:t xml:space="preserve">      Thanh Hóa, ngày 19 tháng 12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4878/2016/QĐ-UBND</w:t>
        <w:br/>
        <w:t xml:space="preserve">     </w:t>
      </w:r>
      <w:r>
        <w:rPr>
          <w:b w:val="0"/>
          <w:i w:val="0"/>
        </w:rPr>
        <w:br/>
      </w:r>
      <w:r>
        <w:rPr>
          <w:b w:val="0"/>
          <w:i/>
        </w:rPr>
        <w:br/>
        <w:t xml:space="preserve">      Thanh Hóa, ngày 19 tháng 12 năm 2016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THANH HÓA</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THANH HÓA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4878/2016/QĐ-UBND</w:t>
        <w:br/>
        <w:t xml:space="preserve">     </w:t>
      </w:r>
      <w:r>
        <w:rPr>
          <w:b w:val="0"/>
          <w:i w:val="0"/>
        </w:rPr>
        <w:br/>
      </w:r>
      <w:r>
        <w:rPr>
          <w:b w:val="0"/>
          <w:i/>
        </w:rPr>
        <w:br/>
        <w:t xml:space="preserve">      Thanh Hóa, ngày 19 tháng 12 năm 2016</w:t>
        <w:br/>
        <w:t xml:space="preserve">     </w:t>
      </w:r>
      <w:r>
        <w:rPr>
          <w:b w:val="0"/>
          <w:i w:val="0"/>
        </w:rPr>
        <w:br/>
      </w:r>
    </w:p>
    <w:p>
      <w:pPr>
        <w:jc w:val="center"/>
      </w:pPr>
      <w:r>
        <w:rPr>
          <w:b w:val="0"/>
          <w:i w:val="0"/>
        </w:rPr>
        <w:br/>
        <w:t xml:space="preserve">      Số: 4878/2016/QĐ-UBND</w:t>
        <w:br/>
        <w:t xml:space="preserve">     </w:t>
      </w:r>
    </w:p>
    <w:p>
      <w:pPr>
        <w:jc w:val="center"/>
      </w:pPr>
      <w:r>
        <w:rPr>
          <w:b w:val="0"/>
          <w:i w:val="0"/>
        </w:rPr>
        <w:br/>
        <w:t xml:space="preserve">      Thanh Hóa, ngày 19 tháng 12 năm 2016</w:t>
        <w:br/>
        <w:t xml:space="preserve">     </w:t>
      </w:r>
    </w:p>
    <w:p>
      <w:r>
        <w:rPr>
          <w:b/>
          <w:i w:val="0"/>
        </w:rPr>
        <w:t>QUYẾT ĐỊNH</w:t>
      </w:r>
    </w:p>
    <w:p>
      <w:pPr>
        <w:jc w:val="center"/>
      </w:pPr>
      <w:r>
        <w:rPr>
          <w:b/>
          <w:i w:val="0"/>
        </w:rPr>
        <w:t>Về việc phê duyệt kế hoạch đầu tư công trung hạn</w:t>
      </w:r>
    </w:p>
    <w:p>
      <w:pPr>
        <w:jc w:val="center"/>
      </w:pPr>
      <w:r>
        <w:rPr>
          <w:b/>
          <w:i w:val="0"/>
        </w:rPr>
        <w:t>giai đoạn 2016 - 2020 tỉnh Thanh Hóa</w:t>
      </w:r>
    </w:p>
    <w:p>
      <w:r>
        <w:rPr>
          <w:b/>
          <w:i w:val="0"/>
        </w:rPr>
        <w:t>ỦY BAN NHÂN DÂN TỈNH THANH HÓA</w:t>
      </w:r>
    </w:p>
    <w:p>
      <w:r>
        <w:rPr>
          <w:b w:val="0"/>
          <w:i/>
        </w:rPr>
        <w:t>Căn cứ Luật Tổ chức chính quyền địa phương ngày 19/6/2015;</w:t>
      </w:r>
    </w:p>
    <w:p>
      <w:r>
        <w:rPr>
          <w:b w:val="0"/>
          <w:i/>
        </w:rPr>
        <w:t xml:space="preserve">Căn cứ Luật Ngân sách nhà nước số 83/2015/QH13 ngày 25/6/2015; </w:t>
      </w:r>
    </w:p>
    <w:p>
      <w:r>
        <w:rPr>
          <w:b w:val="0"/>
          <w:i/>
        </w:rPr>
        <w:t>Căn cứ Luật Đầu tư công số 43/2014/QH13 ngày 18/6/2014;</w:t>
      </w:r>
    </w:p>
    <w:p>
      <w:r>
        <w:rPr>
          <w:b w:val="0"/>
          <w:i/>
        </w:rPr>
        <w:t>Căn cứ Nghị định số 77/2015/NĐ-CP ngày 10/9/2015 của Chính phủ về kế hoạch đầu tư công trung hạn và hàng năm; Nghị định số 136/2015/NĐ-CP ngày 31/12/2015 của Chính phủ về hướng dẫn thi hành một số điều của Luật Đầu tư công;</w:t>
      </w:r>
    </w:p>
    <w:p>
      <w:r>
        <w:rPr>
          <w:b w:val="0"/>
          <w:i/>
        </w:rPr>
        <w:t>Căn cứ Quyết định số 40/2015/QĐ-TTg ngày 14/9/2015 của Thủ tướng Chính phủ ban hành nguyên tắc, tiêu chí và định mức phân bổ vốn đầu tư phát triển nguồn ngân sách nhà nước giai đoạn 2016 - 2020;</w:t>
      </w:r>
    </w:p>
    <w:p>
      <w:r>
        <w:rPr>
          <w:b w:val="0"/>
          <w:i/>
        </w:rPr>
        <w:t>Căn cứ Quyết định số 872/QĐ-TTg ngày 17/6/2015 của Thủ tướng Chính phủ phê duyệt điều chỉnh Quy hoạch tổng thể phát triển kinh tế - xã hội tỉnh Thanh Hóa đến năm 2020, định hướng đến năm 2030;</w:t>
      </w:r>
    </w:p>
    <w:p>
      <w:r>
        <w:rPr>
          <w:b w:val="0"/>
          <w:i/>
        </w:rPr>
        <w:t>Căn cứ Công văn số 8836/BKHĐT-TH ngày 24/10/2016 của Bộ Kế hoạch và Đầu tư về việc dự kiến phân bổ kế hoạch đầu tư công trung hạn vốn ngân sách nhà nước giai đoạn 2016 - 2020 và năm 2017;</w:t>
      </w:r>
    </w:p>
    <w:p>
      <w:r>
        <w:rPr>
          <w:b w:val="0"/>
          <w:i/>
        </w:rPr>
        <w:t>Căn cứ Nghị quyết số 145/2015/NQ-HĐND ngày 11/12/2015 của HĐND tỉnh về kế hoạch phát triển kinh tế - xã hội 5 năm 2016 - 2020; Nghị quyết số 21/2016/NQ-HĐND ngày 08/12/2016 của HĐND tỉnh về kế hoạch đầu tư công trung hạn giai đoạn 2016 - 2020 tỉnh Thanh Hóa.</w:t>
      </w:r>
    </w:p>
    <w:p>
      <w:r>
        <w:rPr>
          <w:b/>
          <w:i w:val="0"/>
        </w:rPr>
        <w:t>QUYẾT ĐỊNH:</w:t>
      </w:r>
    </w:p>
    <w:p>
      <w:r>
        <w:rPr>
          <w:b/>
          <w:i w:val="0"/>
        </w:rPr>
        <w:t xml:space="preserve">Điều 1. </w:t>
      </w:r>
      <w:r>
        <w:rPr>
          <w:b w:val="0"/>
          <w:i w:val="0"/>
        </w:rPr>
        <w:t>Phê duyệt Kế hoạch đầu tư công trung hạn giai đoạn 2016 - 2020 tỉnh Thanh hóa với những nội dung sau:</w:t>
      </w:r>
    </w:p>
    <w:p>
      <w:r>
        <w:rPr>
          <w:b w:val="0"/>
          <w:i w:val="0"/>
        </w:rPr>
        <w:t>Tổng kế hoạch vốn đầu tư công trung hạn giai đoạn 2016 - 2020 của tỉnh là 27.079.715 triệu đồng, bao gồm:</w:t>
      </w:r>
    </w:p>
    <w:p>
      <w:r>
        <w:rPr>
          <w:b/>
          <w:i w:val="0"/>
        </w:rPr>
        <w:t>I. Vốn cân đối ngân sách tỉnh: 12.620.369 triệu đồng.</w:t>
      </w:r>
    </w:p>
    <w:p>
      <w:r>
        <w:rPr>
          <w:b w:val="0"/>
          <w:i w:val="0"/>
        </w:rPr>
        <w:t>1. Vốn dự phòng (10%): 1.262.037 triệu đồng.</w:t>
      </w:r>
    </w:p>
    <w:p>
      <w:r>
        <w:rPr>
          <w:b w:val="0"/>
          <w:i w:val="0"/>
        </w:rPr>
        <w:t>2. Vốn phân bổ chi tiết (90%): 11.358.332 triệu đồng.</w:t>
      </w:r>
    </w:p>
    <w:p>
      <w:r>
        <w:rPr>
          <w:b w:val="0"/>
          <w:i w:val="0"/>
        </w:rPr>
        <w:t>- Vốn đầu tư trong cân đối theo tiêu chí: 7.077.032 triệu đồng.</w:t>
      </w:r>
    </w:p>
    <w:p>
      <w:r>
        <w:rPr>
          <w:b w:val="0"/>
          <w:i w:val="0"/>
        </w:rPr>
        <w:t>- Vốn đầu tư từ nguồn thu sử dụng đất: 4.230.000 triệu đồng.</w:t>
      </w:r>
    </w:p>
    <w:p>
      <w:r>
        <w:rPr>
          <w:b w:val="0"/>
          <w:i w:val="0"/>
        </w:rPr>
        <w:t>- Vốn đầu tư từ nguồn thu xổ số kiến thiết: 51.300 triệu đồng.</w:t>
      </w:r>
    </w:p>
    <w:p>
      <w:pPr>
        <w:jc w:val="center"/>
      </w:pPr>
      <w:r>
        <w:rPr>
          <w:b w:val="0"/>
          <w:i/>
        </w:rPr>
        <w:t>(Chi tiết có phụ lục kèm theo)</w:t>
      </w:r>
    </w:p>
    <w:p>
      <w:r>
        <w:rPr>
          <w:b/>
          <w:i w:val="0"/>
        </w:rPr>
        <w:t>II. Vốn ngân sách Trung ương, vốn trái phiếu Chính phủ: 14.459.346 triệu đồng</w:t>
      </w:r>
    </w:p>
    <w:p>
      <w:r>
        <w:rPr>
          <w:b w:val="0"/>
          <w:i w:val="0"/>
        </w:rPr>
        <w:t>Sau khi có quyết định giao kế hoạch của Thủ tướng Chính phủ, Bộ Kế hoạch và Đầu tư, giao Sở Kế hoạch và Đầu tư chủ trì, tham mưu cho UBND tỉnh xem xét, thống nhất với Thường trực HĐND tỉnh thông qua trước khi giao kế hoạch chi tiết cho từng chương trình, dự án để các ngành, đơn vị liên quan và chủ đầu tư triển khai thực hiện theo quy định.</w:t>
      </w:r>
    </w:p>
    <w:p>
      <w:r>
        <w:rPr>
          <w:b/>
          <w:i w:val="0"/>
        </w:rPr>
        <w:t xml:space="preserve">Điều 2. </w:t>
      </w:r>
      <w:r>
        <w:rPr>
          <w:b w:val="0"/>
          <w:i w:val="0"/>
        </w:rPr>
        <w:t>Tổ chức thực hiện</w:t>
      </w:r>
    </w:p>
    <w:p>
      <w:r>
        <w:rPr>
          <w:b w:val="0"/>
          <w:i w:val="0"/>
        </w:rPr>
        <w:t>1. Giao Sở Kế hoạch và Đầu tư chủ trì, phối hợp với Sở Tài chính, các ngành, đơn vị liên quan, căn cứ Nghị quyết số 21/2016/NQ-HĐND ngày 08/12/2016 của HĐND tỉnh về kế hoạch đầu tư công trung hạn giai đoạn 2016 - 2020; nội dung phê duyệt tại Điều 1 của Quyết định này và các quy định hiện hành của pháp luật, cụ thể hóa kế hoạch, trình UBND tỉnh xem xét, quyết định để tổ chức triển khai thực hiện.</w:t>
      </w:r>
    </w:p>
    <w:p>
      <w:r>
        <w:rPr>
          <w:b w:val="0"/>
          <w:i w:val="0"/>
        </w:rPr>
        <w:t>2. Trên cơ sở Kế hoạch đầu tư công trung hạn giai đoạn 2016 - 2020 được UBND tỉnh giao, các sở, ban, ngành, đoàn thể cấp tỉnh và UBND các huyện, thị xã, thành phố, định kỳ báo cáo tình hình thực hiện của ngành, địa phương, đơn vị mình, gửi về Sở Kế hoạch và Đầu tư, Sở Tài chính để tổng hợp, báo cáo UBND tỉnh, HĐND tỉnh theo quy định.</w:t>
      </w:r>
    </w:p>
    <w:p>
      <w:r>
        <w:rPr>
          <w:b/>
          <w:i w:val="0"/>
        </w:rPr>
        <w:t xml:space="preserve">Điều 3. </w:t>
      </w:r>
      <w:r>
        <w:rPr>
          <w:b w:val="0"/>
          <w:i w:val="0"/>
        </w:rPr>
        <w:t>Quyết định này có hiệu lực thi hành kể từ ngày 29/12/2016.</w:t>
      </w:r>
    </w:p>
    <w:p>
      <w:r>
        <w:rPr>
          <w:b w:val="0"/>
          <w:i w:val="0"/>
        </w:rPr>
        <w:t>Chánh Văn phòng UBND tỉnh, Giám đốc các sở, Trưởng các ban, ngành, đoàn thể cấp tỉnh; Chủ tịch UBND các huyện, thị xã, thành phố và Thủ trưởng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 xml:space="preserve">Nguyễn Đình Xứng </w:t>
            </w:r>
          </w:p>
        </w:tc>
      </w:tr>
    </w:tbl>
    <w:p>
      <w:r>
        <w:rPr>
          <w:b/>
          <w:i w:val="0"/>
        </w:rPr>
        <w:t>PHỤ LỤC</w:t>
      </w:r>
    </w:p>
    <w:p>
      <w:r>
        <w:rPr>
          <w:b w:val="0"/>
          <w:i w:val="0"/>
        </w:rPr>
        <w:t>KẾ HOẠCH ĐẦU TƯ CÔNG TRUNG HẠN NGUỒN VỐN ĐẦU TƯ TRONG CÂN ĐỐI NGÂN SÁCH ĐỊA PHƯƠNG GIAI ĐOẠN 2016 - 2020</w:t>
      </w:r>
      <w:r>
        <w:br/>
      </w:r>
      <w:r>
        <w:rPr>
          <w:b w:val="0"/>
          <w:i/>
        </w:rPr>
        <w:t>(Kèm theo Quyết định số: 4878/2016/QĐ-UBND ngày 19 tháng 12 năm 2016 của UBND tỉnh Thanh Hóa)</w:t>
      </w:r>
    </w:p>
    <w:p>
      <w:r>
        <w:rPr>
          <w:b w:val="0"/>
          <w:i/>
        </w:rPr>
        <w:t>(Đơn vị tính: Triệu đồng)</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i w:val="0"/>
              </w:rPr>
              <w:t>Số</w:t>
            </w:r>
            <w:r>
              <w:rPr>
                <w:b w:val="0"/>
                <w:i w:val="0"/>
              </w:rPr>
              <w:t xml:space="preserve"> </w:t>
            </w:r>
            <w:r>
              <w:rPr>
                <w:b/>
                <w:i w:val="0"/>
              </w:rPr>
              <w:t>TT</w:t>
            </w:r>
          </w:p>
        </w:tc>
        <w:tc>
          <w:tcPr>
            <w:tcW w:type="dxa" w:w="720"/>
          </w:tcPr>
          <w:p>
            <w:r>
              <w:rPr>
                <w:b w:val="0"/>
                <w:i w:val="0"/>
              </w:rPr>
              <w:br/>
            </w:r>
            <w:r>
              <w:rPr>
                <w:b/>
                <w:i w:val="0"/>
              </w:rPr>
              <w:t>Danh mục dự án</w:t>
            </w:r>
          </w:p>
        </w:tc>
        <w:tc>
          <w:tcPr>
            <w:tcW w:type="dxa" w:w="720"/>
          </w:tcPr>
          <w:p>
            <w:r>
              <w:rPr>
                <w:b w:val="0"/>
                <w:i w:val="0"/>
              </w:rPr>
              <w:br/>
            </w:r>
            <w:r>
              <w:rPr>
                <w:b/>
                <w:i w:val="0"/>
              </w:rPr>
              <w:t>Quyết định đầu tư ban đầu và điều chỉnh lần cuối (hoặc quyết định phê duyệt quyết toán được duyệt)</w:t>
            </w:r>
          </w:p>
        </w:tc>
        <w:tc>
          <w:tcPr>
            <w:tcW w:type="dxa" w:w="720"/>
          </w:tcPr>
          <w:p>
            <w:r>
              <w:rPr>
                <w:b w:val="0"/>
                <w:i w:val="0"/>
              </w:rPr>
              <w:br/>
            </w:r>
            <w:r>
              <w:rPr>
                <w:b/>
                <w:i w:val="0"/>
              </w:rPr>
              <w:t>Tổng mức đầu tư (hoặc dự kiến TMĐT); giá trị quyết toán</w:t>
            </w:r>
          </w:p>
        </w:tc>
        <w:tc>
          <w:tcPr>
            <w:tcW w:type="dxa" w:w="720"/>
          </w:tcPr>
          <w:p>
            <w:r>
              <w:rPr>
                <w:b w:val="0"/>
                <w:i w:val="0"/>
              </w:rPr>
              <w:br/>
            </w:r>
            <w:r>
              <w:rPr>
                <w:b/>
                <w:i w:val="0"/>
              </w:rPr>
              <w:t>Vốn đã bố trí đến 31/12/2015</w:t>
            </w:r>
          </w:p>
        </w:tc>
        <w:tc>
          <w:tcPr>
            <w:tcW w:type="dxa" w:w="720"/>
          </w:tcPr>
          <w:p>
            <w:r>
              <w:rPr>
                <w:b w:val="0"/>
                <w:i w:val="0"/>
              </w:rPr>
              <w:br/>
            </w:r>
            <w:r>
              <w:rPr>
                <w:b/>
                <w:i w:val="0"/>
              </w:rPr>
              <w:t>Kế hoạch trung hạn 5 năm 2016 - 2020</w:t>
            </w:r>
          </w:p>
        </w:tc>
        <w:tc>
          <w:tcPr>
            <w:tcW w:type="dxa" w:w="720"/>
          </w:tcPr>
          <w:p>
            <w:r>
              <w:rPr>
                <w:b w:val="0"/>
                <w:i w:val="0"/>
              </w:rPr>
              <w:br/>
            </w:r>
            <w:r>
              <w:rPr>
                <w:b/>
                <w:i w:val="0"/>
              </w:rPr>
              <w:t>Chủ đầu tư</w:t>
            </w:r>
          </w:p>
        </w:tc>
        <w:tc>
          <w:tcPr>
            <w:tcW w:type="dxa" w:w="720"/>
          </w:tcPr>
          <w:p>
            <w:r>
              <w:rPr>
                <w:b w:val="0"/>
                <w:i w:val="0"/>
              </w:rPr>
              <w:br/>
            </w:r>
            <w:r>
              <w:rPr>
                <w:b/>
                <w:i w:val="0"/>
              </w:rPr>
              <w:t>Ghi chú</w:t>
            </w:r>
          </w:p>
        </w:tc>
        <w:tc>
          <w:tcPr>
            <w:tcW w:type="dxa" w:w="720"/>
          </w:tcPr>
          <w:p>
            <w:r>
              <w:rPr>
                <w:b w:val="0"/>
                <w:i w:val="0"/>
              </w:rPr>
              <w:br/>
            </w:r>
            <w:r>
              <w:rPr>
                <w:b w:val="0"/>
                <w:i w:val="0"/>
              </w:rPr>
              <w:t xml:space="preserve"> </w:t>
            </w:r>
          </w:p>
        </w:tc>
        <w:tc>
          <w:tcPr>
            <w:tcW w:type="dxa" w:w="720"/>
          </w:tcPr>
          <w:p>
            <w:r>
              <w:rPr>
                <w:b w:val="0"/>
                <w:i w:val="0"/>
              </w:rPr>
              <w:br/>
            </w:r>
            <w:r>
              <w:rPr>
                <w:b w:val="0"/>
                <w:i w:val="0"/>
              </w:rPr>
              <w:t xml:space="preserve"> </w:t>
            </w:r>
          </w:p>
        </w:tc>
        <w:tc>
          <w:tcPr>
            <w:tcW w:type="dxa" w:w="720"/>
          </w:tcPr>
          <w:p>
            <w:r>
              <w:rPr>
                <w:b w:val="0"/>
                <w:i w:val="0"/>
              </w:rPr>
              <w:br/>
            </w:r>
            <w:r>
              <w:rPr>
                <w:b w:val="0"/>
                <w:i w:val="0"/>
              </w:rPr>
              <w:t xml:space="preserve"> </w:t>
            </w:r>
          </w:p>
        </w:tc>
        <w:tc>
          <w:tcPr>
            <w:tcW w:type="dxa" w:w="720"/>
          </w:tcPr>
          <w:p>
            <w:r>
              <w:rPr>
                <w:b w:val="0"/>
                <w:i w:val="0"/>
              </w:rPr>
              <w:br/>
            </w:r>
            <w:r>
              <w:rPr>
                <w:b w:val="0"/>
                <w:i w:val="0"/>
              </w:rPr>
              <w:t xml:space="preserve"> </w:t>
            </w:r>
          </w:p>
        </w:tc>
      </w:tr>
    </w:tbl>
    <w:p>
      <w:r>
        <w:rPr>
          <w:b/>
          <w:i/>
        </w:rPr>
        <w:t xml:space="preserve">* Ghi chú: </w:t>
      </w:r>
      <w:r>
        <w:rPr>
          <w:b/>
          <w:i w:val="0"/>
        </w:rPr>
        <w:t>(</w:t>
      </w:r>
      <w:r>
        <w:rPr>
          <w:b w:val="0"/>
          <w:i w:val="0"/>
        </w:rPr>
        <w:t>1) Chỉ tính nguồn vốn đầu tư trong cân đối theo tiêu chí</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Đình Xứng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Đình Xứng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Đình Xứng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Đình Xứng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