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48/2016/QĐ-UBND V/v Bãi bỏ Quyết định số 42/2012/QĐ-UBND ngày 20 tháng 9 năm 2012 của Uỷ ban nhân dân thành phố Đà Nẵng về việc ban hành Quy chế Quản lý sử dụng nhà chung cư do Nhà nước đầu tư xây dựng trên địa bàn  thành phố Đà Nẵng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ĐÀ NẴNG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48/2016/QĐ-UBND</w:t>
        <w:br/>
        <w:t xml:space="preserve">     </w:t>
      </w:r>
      <w:r>
        <w:rPr>
          <w:b w:val="0"/>
          <w:i w:val="0"/>
        </w:rPr>
        <w:br/>
      </w:r>
      <w:r>
        <w:rPr>
          <w:b w:val="0"/>
          <w:i/>
        </w:rPr>
        <w:br/>
        <w:t xml:space="preserve">      Đà Nẵng, ngày 28 tháng 12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ĐÀ NẴNG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48/2016/QĐ-UBND</w:t>
        <w:br/>
        <w:t xml:space="preserve">     </w:t>
      </w:r>
      <w:r>
        <w:rPr>
          <w:b w:val="0"/>
          <w:i w:val="0"/>
        </w:rPr>
        <w:br/>
      </w:r>
      <w:r>
        <w:rPr>
          <w:b w:val="0"/>
          <w:i/>
        </w:rPr>
        <w:br/>
        <w:t xml:space="preserve">      Đà Nẵng, ngày 28 tháng 12 năm 2016</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ĐÀ NẴNG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ĐÀ NẴNG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ĐÀ NẴNG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48/2016/QĐ-UBND</w:t>
        <w:br/>
        <w:t xml:space="preserve">     </w:t>
      </w:r>
      <w:r>
        <w:rPr>
          <w:b w:val="0"/>
          <w:i w:val="0"/>
        </w:rPr>
        <w:br/>
      </w:r>
      <w:r>
        <w:rPr>
          <w:b w:val="0"/>
          <w:i/>
        </w:rPr>
        <w:br/>
        <w:t xml:space="preserve">      Đà Nẵng, ngày 28 tháng 12 năm 2016</w:t>
        <w:br/>
        <w:t xml:space="preserve">     </w:t>
      </w:r>
      <w:r>
        <w:rPr>
          <w:b w:val="0"/>
          <w:i w:val="0"/>
        </w:rPr>
        <w:br/>
      </w:r>
    </w:p>
    <w:p>
      <w:pPr>
        <w:jc w:val="center"/>
      </w:pPr>
      <w:r>
        <w:rPr>
          <w:b w:val="0"/>
          <w:i w:val="0"/>
        </w:rPr>
        <w:br/>
        <w:t xml:space="preserve">      Số: 48/2016/QĐ-UBND</w:t>
        <w:br/>
        <w:t xml:space="preserve">     </w:t>
      </w:r>
    </w:p>
    <w:p>
      <w:pPr>
        <w:jc w:val="center"/>
      </w:pPr>
      <w:r>
        <w:rPr>
          <w:b w:val="0"/>
          <w:i w:val="0"/>
        </w:rPr>
        <w:br/>
        <w:t xml:space="preserve">      Đà Nẵng, ngày 28 tháng 12 năm 2016</w:t>
        <w:br/>
        <w:t xml:space="preserve">     </w:t>
      </w:r>
    </w:p>
    <w:p>
      <w:r>
        <w:rPr>
          <w:b/>
          <w:i w:val="0"/>
        </w:rPr>
        <w:t>QUYẾT ĐỊNH</w:t>
      </w:r>
    </w:p>
    <w:p>
      <w:r>
        <w:rPr>
          <w:b/>
          <w:i w:val="0"/>
        </w:rPr>
        <w:t>V/v Bãi bỏ Quyết định số 42/2012/QĐ-UBND ngày 20 tháng 9 năm 2012 của</w:t>
      </w:r>
    </w:p>
    <w:p>
      <w:r>
        <w:rPr>
          <w:b/>
          <w:i w:val="0"/>
        </w:rPr>
        <w:t xml:space="preserve">Uỷ ban nhân dân thành phố Đà Nẵng về việc ban hành Quy chế Quản lý </w:t>
      </w:r>
    </w:p>
    <w:p>
      <w:r>
        <w:rPr>
          <w:b/>
          <w:i w:val="0"/>
        </w:rPr>
        <w:t xml:space="preserve">   sử dụng nhà chung cư do Nhà nước đầu tư xây dựng </w:t>
      </w:r>
    </w:p>
    <w:p>
      <w:r>
        <w:rPr>
          <w:b/>
          <w:i w:val="0"/>
        </w:rPr>
        <w:t xml:space="preserve">trên địa bàn  </w:t>
      </w:r>
      <w:r>
        <w:rPr>
          <w:b/>
          <w:i w:val="0"/>
        </w:rPr>
        <w:t>thành phố Đà Nẵng</w:t>
      </w:r>
    </w:p>
    <w:p>
      <w:r>
        <w:rPr>
          <w:b w:val="0"/>
          <w:i w:val="0"/>
        </w:rPr>
        <w:t>_____________</w:t>
      </w:r>
    </w:p>
    <w:p>
      <w:r>
        <w:rPr>
          <w:b/>
          <w:i w:val="0"/>
        </w:rPr>
        <w:t>ỦY BAN NHÂN DÂN THÀNH PHỐ ĐÀ NẴNG</w:t>
      </w:r>
    </w:p>
    <w:p>
      <w:pPr>
        <w:jc w:val="both"/>
      </w:pPr>
      <w:r>
        <w:rPr>
          <w:b w:val="0"/>
          <w:i/>
        </w:rPr>
        <w:t xml:space="preserve">Căn cứ Luật Tổ chức </w:t>
      </w:r>
      <w:r>
        <w:rPr>
          <w:b w:val="0"/>
          <w:i/>
        </w:rPr>
        <w:t>chính quyền địa phương số 77/2015/QH13 ngày 19 tháng 6 năm 2015;</w:t>
      </w:r>
    </w:p>
    <w:p>
      <w:pPr>
        <w:jc w:val="both"/>
      </w:pPr>
      <w:r>
        <w:rPr>
          <w:b w:val="0"/>
          <w:i/>
        </w:rPr>
        <w:t xml:space="preserve">Căn cứ </w:t>
      </w:r>
      <w:r>
        <w:rPr>
          <w:b w:val="0"/>
          <w:i/>
        </w:rPr>
        <w:t>Bộ Luật dân sự số 33/</w:t>
      </w:r>
      <w:r>
        <w:rPr>
          <w:b w:val="0"/>
          <w:i/>
        </w:rPr>
        <w:t>2005/QH11 ngày 14 tháng 6 năm 2005</w:t>
      </w:r>
      <w:r>
        <w:rPr>
          <w:b w:val="0"/>
          <w:i/>
        </w:rPr>
        <w:t>;</w:t>
      </w:r>
    </w:p>
    <w:p>
      <w:pPr>
        <w:jc w:val="both"/>
      </w:pPr>
      <w:r>
        <w:rPr>
          <w:b w:val="0"/>
          <w:i/>
        </w:rPr>
        <w:t>Căn cứ Luật Nhà ở số 65/2014/QH13 ngày 25 tháng 11 năm 2014;</w:t>
      </w:r>
    </w:p>
    <w:p>
      <w:pPr>
        <w:jc w:val="both"/>
      </w:pPr>
      <w:r>
        <w:rPr>
          <w:b w:val="0"/>
          <w:i/>
        </w:rPr>
        <w:t>Căn cứ</w:t>
      </w:r>
      <w:r>
        <w:rPr>
          <w:b w:val="0"/>
          <w:i/>
        </w:rPr>
        <w:t xml:space="preserve"> Nghị định số 99/2015/NĐ-CP ngày 20 tháng 10 năm 2015 của Chính phủ quy định chi tiết và hướng dẫn một số điều của Luật Nhà ở;</w:t>
      </w:r>
    </w:p>
    <w:p>
      <w:pPr>
        <w:jc w:val="both"/>
      </w:pPr>
      <w:r>
        <w:rPr>
          <w:b w:val="0"/>
          <w:i/>
        </w:rPr>
        <w:t>Căn cứ Thông tư số 19/2016/TT-BXD ngày 30 tháng 6 năm 2016 của Bộ Xây dựng Hướng dẫn thực hiện một số nội dung của Luật Nhà ở và Nghị định số 99/2015/NĐ-CP ngày 20 tháng 10 năm 2015 của Chính phủ quy định chi tiết và hướng dẫn một số điều của Luật Nhà ở;</w:t>
      </w:r>
    </w:p>
    <w:p>
      <w:pPr>
        <w:jc w:val="both"/>
      </w:pPr>
      <w:r>
        <w:rPr>
          <w:b w:val="0"/>
          <w:i/>
        </w:rPr>
        <w:t>Căn cứ Thông tư số 10/2016/TT-BXD ngày 30 tháng 12 năm 2015 của Bộ Xây dựng Quy định về việc đào tạo, bồi dưỡng kiến thức chuyên môn, nghiệp vụ quản lý vận hành nhà chung cư;</w:t>
      </w:r>
    </w:p>
    <w:p>
      <w:pPr>
        <w:jc w:val="both"/>
      </w:pPr>
      <w:r>
        <w:rPr>
          <w:b w:val="0"/>
          <w:i/>
        </w:rPr>
        <w:t>Căn cứ Thông tư số 02/2015/TT-BXD ngày 15 tháng 02 năm 2016 của Bộ Xây dựng ban hành quy chế, quản lý, sử dụng nhà chung cư;</w:t>
      </w:r>
    </w:p>
    <w:p>
      <w:pPr>
        <w:jc w:val="both"/>
      </w:pPr>
      <w:r>
        <w:rPr>
          <w:b w:val="0"/>
          <w:i/>
        </w:rPr>
        <w:t xml:space="preserve">Xét </w:t>
      </w:r>
      <w:r>
        <w:rPr>
          <w:b w:val="0"/>
          <w:i/>
        </w:rPr>
        <w:t xml:space="preserve">đề nghị của Giám đốc Sở </w:t>
      </w:r>
      <w:r>
        <w:rPr>
          <w:b w:val="0"/>
          <w:i/>
        </w:rPr>
        <w:t xml:space="preserve">Xây dựng </w:t>
      </w:r>
      <w:r>
        <w:rPr>
          <w:b w:val="0"/>
          <w:i/>
        </w:rPr>
        <w:t>thành phố Đà Nẵng</w:t>
      </w:r>
      <w:r>
        <w:rPr>
          <w:b w:val="0"/>
          <w:i/>
        </w:rPr>
        <w:t xml:space="preserve"> tại </w:t>
      </w:r>
      <w:r>
        <w:rPr>
          <w:b w:val="0"/>
          <w:i/>
        </w:rPr>
        <w:t>Tờ trình số 12400 /TTr-SXD ngày 15 tháng 12 năm 2016,</w:t>
      </w:r>
    </w:p>
    <w:p>
      <w:r>
        <w:rPr>
          <w:b/>
          <w:i w:val="0"/>
        </w:rPr>
        <w:t>QUYẾT ĐỊNH:</w:t>
      </w:r>
    </w:p>
    <w:p>
      <w:r>
        <w:rPr>
          <w:b/>
          <w:i w:val="0"/>
        </w:rPr>
        <w:t xml:space="preserve">Điều 1. </w:t>
      </w:r>
      <w:r>
        <w:rPr>
          <w:b w:val="0"/>
          <w:i w:val="0"/>
        </w:rPr>
        <w:t>Bãi bỏ Quyết định số 42/2012/QĐ-UBND ngày 20 tháng 9 năm 2012 của Uỷ ban nhân dân thành phố Đà Nẵng về việc ban hành Quy chế quản lý sử dụng nhà chung cư do Nhà nước đầu tư xây dựng trên địa bàn thành phố Đà Nẵng.</w:t>
      </w:r>
    </w:p>
    <w:p>
      <w:r>
        <w:rPr>
          <w:b/>
          <w:i w:val="0"/>
        </w:rPr>
        <w:t xml:space="preserve">Điều 2. </w:t>
      </w:r>
      <w:r>
        <w:rPr>
          <w:b w:val="0"/>
          <w:i w:val="0"/>
        </w:rPr>
        <w:t>Quyết định này có hiệu lực thi hành kể từ ngày 10 tháng 01 năm 2017.</w:t>
      </w:r>
    </w:p>
    <w:p>
      <w:r>
        <w:rPr>
          <w:b/>
          <w:i w:val="0"/>
        </w:rPr>
        <w:t xml:space="preserve">Điều 3. </w:t>
      </w:r>
      <w:r>
        <w:rPr>
          <w:b w:val="0"/>
          <w:i w:val="0"/>
        </w:rPr>
        <w:t>Chánh Văn phòng UBND thành phố Đà Nẵng; Giám đốc Sở Xây dựng, Giám đốc Công ty Quản lý nhà chung cư Đà Nẵng, Chủ tịch UBND các quận, huyện, phường, xã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val="0"/>
                <w:i w:val="0"/>
              </w:rPr>
              <w:t xml:space="preserve">         </w:t>
            </w:r>
            <w:r>
              <w:rPr>
                <w:b/>
                <w:i w:val="0"/>
              </w:rPr>
              <w:t>TM. ỦY BAN NHÂN DÂN</w:t>
            </w:r>
            <w:r>
              <w:rPr>
                <w:b w:val="0"/>
                <w:i w:val="0"/>
              </w:rPr>
              <w:br/>
            </w:r>
            <w:r>
              <w:rPr>
                <w:b/>
                <w:i w:val="0"/>
              </w:rPr>
              <w:t xml:space="preserve">      KT.</w:t>
            </w:r>
            <w:r>
              <w:rPr>
                <w:b/>
                <w:i w:val="0"/>
              </w:rPr>
              <w:t>CHỦ TỊCH</w:t>
            </w:r>
            <w:r>
              <w:rPr>
                <w:b w:val="0"/>
                <w:i w:val="0"/>
              </w:rPr>
              <w:br/>
            </w:r>
            <w:r>
              <w:rPr>
                <w:b/>
                <w:i w:val="0"/>
              </w:rPr>
              <w:t xml:space="preserve">     PHÓ CHỦ TỊCH </w:t>
            </w:r>
            <w:r>
              <w:rPr>
                <w:b w:val="0"/>
                <w:i w:val="0"/>
              </w:rPr>
              <w:br/>
            </w:r>
            <w:r>
              <w:rPr>
                <w:b/>
                <w:i w:val="0"/>
              </w:rPr>
              <w:t xml:space="preserve">    Nguyễn Ngọc Tuấn </w:t>
            </w:r>
          </w:p>
        </w:tc>
      </w:tr>
    </w:tbl>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Ngọc Tuấn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Ngọc Tuấn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Ngọc Tuấn</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Ngọc Tuấn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