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48/2017/TT-BQP Quy chế giám sát tài chính, đánh giá hiệu quả hoạt động đối với doanh nghiệp nhà nước và doanh nghiệp có vốn nhà nước thuộc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48/2017/TT-BQP</w:t>
        <w:br/>
        <w:t xml:space="preserve">     </w:t>
      </w:r>
      <w:r>
        <w:rPr>
          <w:b w:val="0"/>
          <w:i w:val="0"/>
        </w:rPr>
        <w:br/>
      </w:r>
      <w:r>
        <w:rPr>
          <w:b w:val="0"/>
          <w:i/>
        </w:rPr>
        <w:br/>
        <w:t xml:space="preserve">      Hà Nội, ngày 5 tháng 3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48/2017/TT-BQP</w:t>
        <w:br/>
        <w:t xml:space="preserve">     </w:t>
      </w:r>
      <w:r>
        <w:rPr>
          <w:b w:val="0"/>
          <w:i w:val="0"/>
        </w:rPr>
        <w:br/>
      </w:r>
      <w:r>
        <w:rPr>
          <w:b w:val="0"/>
          <w:i/>
        </w:rPr>
        <w:br/>
        <w:t xml:space="preserve">      Hà Nội, ngày 5 tháng 3 năm 2017</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48/2017/TT-BQP</w:t>
        <w:br/>
        <w:t xml:space="preserve">     </w:t>
      </w:r>
      <w:r>
        <w:rPr>
          <w:b w:val="0"/>
          <w:i w:val="0"/>
        </w:rPr>
        <w:br/>
      </w:r>
      <w:r>
        <w:rPr>
          <w:b w:val="0"/>
          <w:i/>
        </w:rPr>
        <w:br/>
        <w:t xml:space="preserve">      Hà Nội, ngày 5 tháng 3 năm 2017</w:t>
        <w:br/>
        <w:t xml:space="preserve">     </w:t>
      </w:r>
      <w:r>
        <w:rPr>
          <w:b w:val="0"/>
          <w:i w:val="0"/>
        </w:rPr>
        <w:br/>
      </w:r>
    </w:p>
    <w:p>
      <w:pPr>
        <w:jc w:val="center"/>
      </w:pPr>
      <w:r>
        <w:rPr>
          <w:b w:val="0"/>
          <w:i w:val="0"/>
        </w:rPr>
        <w:br/>
        <w:t xml:space="preserve">      Số: 48/2017/TT-BQP</w:t>
        <w:br/>
        <w:t xml:space="preserve">     </w:t>
      </w:r>
    </w:p>
    <w:p>
      <w:pPr>
        <w:jc w:val="center"/>
      </w:pPr>
      <w:r>
        <w:rPr>
          <w:b w:val="0"/>
          <w:i w:val="0"/>
        </w:rPr>
        <w:br/>
        <w:t xml:space="preserve">      Hà Nội, ngày 5 tháng 3 năm 2017</w:t>
        <w:br/>
        <w:t xml:space="preserve">     </w:t>
      </w:r>
    </w:p>
    <w:p>
      <w:r>
        <w:rPr>
          <w:b/>
          <w:i w:val="0"/>
        </w:rPr>
        <w:t>THÔNG TƯ</w:t>
      </w:r>
    </w:p>
    <w:p>
      <w:r>
        <w:rPr>
          <w:b/>
          <w:i w:val="0"/>
        </w:rPr>
        <w:t xml:space="preserve">Ban hành Quy chế giám sát tài chính, đánh giá hiệu quả hoạt động đối với </w:t>
      </w:r>
      <w:r>
        <w:rPr>
          <w:b/>
          <w:i w:val="0"/>
        </w:rPr>
        <w:t xml:space="preserve">doanh nghiệp nhà nước và doanh nghiệp có vốn nhà nước </w:t>
      </w:r>
      <w:r>
        <w:rPr>
          <w:b/>
          <w:i w:val="0"/>
        </w:rPr>
        <w:t>thuộc Bộ Quốc phòng</w:t>
      </w:r>
    </w:p>
    <w:p>
      <w:r>
        <w:rPr>
          <w:b w:val="0"/>
          <w:i/>
        </w:rPr>
        <w:t>Căn cứ Nghị định số 35/2013/NĐ-CP ngày 22 tháng 4 năm 2013 của Chính phủ quy định chức năng, nhiệm vụ, quyền hạn và cơ cấu tổ chức của Bộ Quốc phòng;</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Theo đề nghị của Cục trưởng Cục Tài chính/Bộ Quốc phòng;</w:t>
      </w:r>
    </w:p>
    <w:p>
      <w:r>
        <w:rPr>
          <w:b w:val="0"/>
          <w:i/>
        </w:rPr>
        <w:t>Bộ trưởng Bộ Quốc phòng ban hành Thông tư ban hành Quy chế giám sát tài chính, đánh giá hiệu quả hoạt động đối với doanh nghiệp nhà nước và doanh nghiệp có vốn nhà nước thuộc Bộ Quốc phòng.</w:t>
      </w:r>
    </w:p>
    <w:p>
      <w:r>
        <w:rPr>
          <w:b/>
          <w:i w:val="0"/>
        </w:rPr>
        <w:t xml:space="preserve">Điều 1. </w:t>
      </w:r>
      <w:r>
        <w:rPr>
          <w:b w:val="0"/>
          <w:i w:val="0"/>
        </w:rPr>
        <w:t>Ban hành kèm theo Thông tư này Quy chế giám sát tài chính, đánh giá hiệu quả hoạt động đối với doanh nghiệp nhà nước và doanh nghiệp có vốn nhà nước thuộc Bộ Quốc phòng.</w:t>
      </w:r>
    </w:p>
    <w:p>
      <w:r>
        <w:rPr>
          <w:b/>
          <w:i w:val="0"/>
        </w:rPr>
        <w:t xml:space="preserve">Điều 2. </w:t>
      </w:r>
      <w:r>
        <w:rPr>
          <w:b w:val="0"/>
          <w:i w:val="0"/>
        </w:rPr>
        <w:t>Thông tư này có hiệu lực kể từ ngày 20 tháng 4 năm 2017 và áp dụng cho năm tài chính 2016 trở đi; đồng thời thay thế Thông tư số 161/2014/TT-BQP ngày 10 tháng 11 năm 2014 của Bộ Quốc phòng hướng dẫn một số nội dung về giám sát tài chính và đánh giá hiệu quả hoạt động đối với doanh nghiệp do Bộ Quốc phòng làm chủ sở hữu và doanh nghiệp có vốn của Bộ Quốc phòng.</w:t>
      </w:r>
    </w:p>
    <w:p>
      <w:r>
        <w:rPr>
          <w:b/>
          <w:i w:val="0"/>
        </w:rPr>
        <w:t>Điều 3</w:t>
      </w:r>
    </w:p>
    <w:p>
      <w:r>
        <w:rPr>
          <w:b w:val="0"/>
          <w:i w:val="0"/>
        </w:rPr>
        <w:t>1. Tổng Tham mưu trưởng, Chủ nhiệm Tổng cục Chính trị, Thủ trưởng các cơ quan, đơn vị, doanh nghiệp và cá nhân có liên quan chịu trách nhiệm thi hành Thông tư này.</w:t>
      </w:r>
    </w:p>
    <w:p>
      <w:r>
        <w:rPr>
          <w:b w:val="0"/>
          <w:i w:val="0"/>
        </w:rPr>
        <w:t>2. Trong quá trình thực hiện, trường hợp phát sinh vướng mắc, các cơ quan, đơn vị, doanh nghiệp phản ánh kịp thời về Bộ Quốc phòng (qua Cục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L</w:t>
            </w:r>
            <w:r>
              <w:rPr>
                <w:b w:val="0"/>
                <w:i w:val="0"/>
              </w:rPr>
              <w:t>ã</w:t>
            </w:r>
            <w:r>
              <w:rPr>
                <w:b w:val="0"/>
                <w:i w:val="0"/>
              </w:rPr>
              <w:t>nh đạ</w:t>
            </w:r>
            <w:r>
              <w:rPr>
                <w:b w:val="0"/>
                <w:i w:val="0"/>
              </w:rPr>
              <w:t>o</w:t>
            </w:r>
            <w:r>
              <w:rPr>
                <w:b w:val="0"/>
                <w:i w:val="0"/>
              </w:rPr>
              <w:t xml:space="preserve"> B</w:t>
            </w:r>
            <w:r>
              <w:rPr>
                <w:b w:val="0"/>
                <w:i w:val="0"/>
              </w:rPr>
              <w:t xml:space="preserve">ộ </w:t>
            </w:r>
            <w:r>
              <w:rPr>
                <w:b w:val="0"/>
                <w:i w:val="0"/>
              </w:rPr>
              <w:t>Quốc phòng (</w:t>
            </w:r>
            <w:r>
              <w:rPr>
                <w:b w:val="0"/>
                <w:i w:val="0"/>
              </w:rPr>
              <w:t>đ</w:t>
            </w:r>
            <w:r>
              <w:rPr>
                <w:b w:val="0"/>
                <w:i w:val="0"/>
              </w:rPr>
              <w:t>ể báo cáo);</w:t>
            </w:r>
            <w:r>
              <w:br/>
            </w:r>
            <w:r>
              <w:rPr>
                <w:b w:val="0"/>
                <w:i w:val="0"/>
              </w:rPr>
              <w:br/>
              <w:t xml:space="preserve">         - Văn phòng Chính phủ;</w:t>
            </w:r>
            <w:r>
              <w:br/>
            </w:r>
            <w:r>
              <w:rPr>
                <w:b w:val="0"/>
                <w:i w:val="0"/>
              </w:rPr>
              <w:br/>
              <w:t xml:space="preserve">         - Các cơ quan, đơn vị trực </w:t>
            </w:r>
            <w:r>
              <w:rPr>
                <w:b w:val="0"/>
                <w:i w:val="0"/>
              </w:rPr>
              <w:t>t</w:t>
            </w:r>
            <w:r>
              <w:rPr>
                <w:b w:val="0"/>
                <w:i w:val="0"/>
              </w:rPr>
              <w:t>huộc Bộ;</w:t>
            </w:r>
            <w:r>
              <w:br/>
            </w:r>
            <w:r>
              <w:rPr>
                <w:b w:val="0"/>
                <w:i w:val="0"/>
              </w:rPr>
              <w:br/>
              <w:t xml:space="preserve">         - </w:t>
            </w:r>
            <w:r>
              <w:rPr>
                <w:b w:val="0"/>
                <w:i w:val="0"/>
              </w:rPr>
              <w:t>C</w:t>
            </w:r>
            <w:r>
              <w:rPr>
                <w:b w:val="0"/>
                <w:i w:val="0"/>
              </w:rPr>
              <w:t>ác C</w:t>
            </w:r>
            <w:r>
              <w:rPr>
                <w:b w:val="0"/>
                <w:i w:val="0"/>
              </w:rPr>
              <w:t>ô</w:t>
            </w:r>
            <w:r>
              <w:rPr>
                <w:b w:val="0"/>
                <w:i w:val="0"/>
              </w:rPr>
              <w:t xml:space="preserve">ng ty CP có vốn Nhà nước </w:t>
            </w:r>
            <w:r>
              <w:rPr>
                <w:b w:val="0"/>
                <w:i w:val="0"/>
              </w:rPr>
              <w:t>t</w:t>
            </w:r>
            <w:r>
              <w:rPr>
                <w:b w:val="0"/>
                <w:i w:val="0"/>
              </w:rPr>
              <w:t>huộc Bộ</w:t>
            </w:r>
            <w:r>
              <w:rPr>
                <w:b w:val="0"/>
                <w:i w:val="0"/>
              </w:rPr>
              <w:t>;</w:t>
            </w:r>
            <w:r>
              <w:br/>
            </w:r>
            <w:r>
              <w:rPr>
                <w:b w:val="0"/>
                <w:i w:val="0"/>
              </w:rPr>
              <w:t xml:space="preserve">- </w:t>
            </w:r>
            <w:r>
              <w:rPr>
                <w:b w:val="0"/>
                <w:i w:val="0"/>
              </w:rPr>
              <w:t xml:space="preserve">Cục Kiểm </w:t>
            </w:r>
            <w:r>
              <w:rPr>
                <w:b w:val="0"/>
                <w:i w:val="0"/>
              </w:rPr>
              <w:t>tr</w:t>
            </w:r>
            <w:r>
              <w:rPr>
                <w:b w:val="0"/>
                <w:i w:val="0"/>
              </w:rPr>
              <w:t>a văn bản QPPL/B</w:t>
            </w:r>
            <w:r>
              <w:rPr>
                <w:b w:val="0"/>
                <w:i w:val="0"/>
              </w:rPr>
              <w:t>ộ</w:t>
            </w:r>
            <w:r>
              <w:rPr>
                <w:b w:val="0"/>
                <w:i w:val="0"/>
              </w:rPr>
              <w:t xml:space="preserve"> Tư pháp;</w:t>
            </w:r>
            <w:r>
              <w:br/>
            </w:r>
            <w:r>
              <w:rPr>
                <w:b w:val="0"/>
                <w:i w:val="0"/>
              </w:rPr>
              <w:br/>
              <w:t xml:space="preserve">         - Vụ Pháp chế BQP;</w:t>
            </w:r>
            <w:r>
              <w:br/>
            </w:r>
            <w:r>
              <w:rPr>
                <w:b w:val="0"/>
                <w:i w:val="0"/>
              </w:rPr>
              <w:br/>
              <w:t xml:space="preserve">         - C</w:t>
            </w:r>
            <w:r>
              <w:rPr>
                <w:b w:val="0"/>
                <w:i w:val="0"/>
              </w:rPr>
              <w:t>ô</w:t>
            </w:r>
            <w:r>
              <w:rPr>
                <w:b w:val="0"/>
                <w:i w:val="0"/>
              </w:rPr>
              <w:t>ng báo, Cổng TTĐT Chính phủ;</w:t>
            </w:r>
            <w:r>
              <w:br/>
            </w:r>
            <w:r>
              <w:rPr>
                <w:b w:val="0"/>
                <w:i w:val="0"/>
              </w:rPr>
              <w:br/>
              <w:t xml:space="preserve">         - Cổng Thôn</w:t>
            </w:r>
            <w:r>
              <w:rPr>
                <w:b w:val="0"/>
                <w:i w:val="0"/>
              </w:rPr>
              <w:t xml:space="preserve">g </w:t>
            </w:r>
            <w:r>
              <w:rPr>
                <w:b w:val="0"/>
                <w:i w:val="0"/>
              </w:rPr>
              <w:t>tin điện t</w:t>
            </w:r>
            <w:r>
              <w:rPr>
                <w:b w:val="0"/>
                <w:i w:val="0"/>
              </w:rPr>
              <w:t>ử</w:t>
            </w:r>
            <w:r>
              <w:rPr>
                <w:b w:val="0"/>
                <w:i w:val="0"/>
              </w:rPr>
              <w:t xml:space="preserve"> BQP</w:t>
            </w:r>
            <w:r>
              <w:rPr>
                <w:b w:val="0"/>
                <w:i w:val="0"/>
              </w:rPr>
              <w:t>;</w:t>
            </w:r>
            <w:r>
              <w:br/>
            </w:r>
            <w:r>
              <w:rPr>
                <w:b w:val="0"/>
                <w:i w:val="0"/>
              </w:rPr>
              <w:t>- Lưu: VT</w:t>
            </w:r>
            <w:r>
              <w:rPr>
                <w:b w:val="0"/>
                <w:i w:val="0"/>
              </w:rPr>
              <w:t>,</w:t>
            </w:r>
            <w:r>
              <w:rPr>
                <w:b w:val="0"/>
                <w:i w:val="0"/>
              </w:rPr>
              <w:t xml:space="preserve"> THBĐ</w:t>
            </w:r>
            <w:r>
              <w:rPr>
                <w:b w:val="0"/>
                <w:i w:val="0"/>
              </w:rPr>
              <w:t>;</w:t>
            </w:r>
            <w:r>
              <w:rPr>
                <w:b w:val="0"/>
                <w:i w:val="0"/>
              </w:rPr>
              <w:t xml:space="preserve"> Tr</w:t>
            </w:r>
            <w:r>
              <w:rPr>
                <w:b w:val="0"/>
                <w:i w:val="0"/>
              </w:rPr>
              <w:t>1</w:t>
            </w:r>
            <w:r>
              <w:rPr>
                <w:b w:val="0"/>
                <w:i w:val="0"/>
              </w:rPr>
              <w:t>08.</w:t>
            </w:r>
          </w:p>
        </w:tc>
        <w:tc>
          <w:tcPr>
            <w:tcW w:type="dxa" w:w="4320"/>
          </w:tcPr>
          <w:p>
            <w:r>
              <w:rPr>
                <w:b w:val="0"/>
                <w:i w:val="0"/>
              </w:rPr>
              <w:br/>
            </w:r>
            <w:r>
              <w:rPr>
                <w:b/>
                <w:i w:val="0"/>
              </w:rPr>
              <w:t xml:space="preserve">                                                           KT. BỘ TRƯỞNG</w:t>
            </w:r>
            <w:r>
              <w:br/>
            </w:r>
            <w:r>
              <w:rPr>
                <w:b/>
                <w:i w:val="0"/>
              </w:rPr>
              <w:t xml:space="preserve">                                                           THỨ TRƯỞNG</w:t>
            </w:r>
            <w:r>
              <w:rPr>
                <w:b/>
                <w:i w:val="0"/>
              </w:rPr>
              <w:t xml:space="preserve">                                                          (Đã ký)</w:t>
            </w:r>
            <w:r>
              <w:rPr>
                <w:b w:val="0"/>
                <w:i w:val="0"/>
              </w:rPr>
              <w:br/>
            </w:r>
            <w:r>
              <w:br/>
            </w:r>
            <w:r>
              <w:rPr>
                <w:b/>
                <w:i w:val="0"/>
              </w:rPr>
              <w:br/>
              <w:t xml:space="preserve">                                                         Thượng tướng Trần Đơn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