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49/2000/QĐ-BNN-BVTV Về việc sửa đổi một số tên thuốc bảo vệ thực vật, tên đơn vị đăng ký sản phẩm trong danh mục thuốc bảo vệ thực vật được phép sử dụng, hạn chế sử dụng ở Việt Nam ban hành kèm theo Quyết định số 33/2000/QĐ/BNN-BVTV ngày 03 tháng 4 năm 2000 của Bộ trưởng Bộ Nông nghiệp và Phát triển nông thôn</w:t>
      </w:r>
    </w:p>
    <w:p>
      <w:r>
        <w:rPr>
          <w:b w:val="0"/>
          <w:i w:val="0"/>
        </w:rPr>
        <w:br/>
      </w:r>
      <w:r>
        <w:rPr>
          <w:b w:val="0"/>
          <w:i w:val="0"/>
        </w:rPr>
        <w:br/>
      </w:r>
      <w:r>
        <w:rPr>
          <w:b/>
          <w:i w:val="0"/>
        </w:rPr>
        <w:br/>
      </w:r>
      <w:r>
        <w:rPr>
          <w:b/>
          <w:i w:val="0"/>
        </w:rPr>
        <w:br/>
      </w:r>
      <w:r>
        <w:rPr>
          <w:b/>
          <w:i w:val="0"/>
        </w:rPr>
        <w:t xml:space="preserve">BỘ NÔNG NGHIỆP VÀ </w:t>
      </w:r>
      <w:r>
        <w:rPr>
          <w:b/>
          <w:i w:val="0"/>
        </w:rPr>
        <w:br/>
      </w:r>
      <w:r>
        <w:rPr>
          <w:b/>
          <w:i w:val="0"/>
        </w:rPr>
        <w:br/>
      </w:r>
      <w:r>
        <w:rPr>
          <w:b/>
          <w:i w:val="0"/>
        </w:rPr>
        <w:br/>
      </w:r>
      <w:r>
        <w:rPr>
          <w:b/>
          <w:i w:val="0"/>
        </w:rPr>
        <w:t>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49/2000/QĐ-BNN-BVTV</w:t>
      </w:r>
      <w:r>
        <w:rPr>
          <w:b w:val="0"/>
          <w:i w:val="0"/>
        </w:rPr>
        <w:br/>
      </w:r>
      <w:r>
        <w:rPr>
          <w:b w:val="0"/>
          <w:i w:val="0"/>
        </w:rPr>
        <w:br/>
      </w:r>
      <w:r>
        <w:rPr>
          <w:b w:val="0"/>
          <w:i/>
        </w:rPr>
        <w:br/>
      </w:r>
      <w:r>
        <w:rPr>
          <w:b w:val="0"/>
          <w:i/>
        </w:rPr>
        <w:t>Ngày 5 tháng 5 năm 2000</w:t>
      </w:r>
      <w:r>
        <w:rPr>
          <w:b w:val="0"/>
          <w:i/>
        </w:rPr>
        <w:br/>
      </w:r>
      <w:r>
        <w:rPr>
          <w:b w:val="0"/>
          <w:i w:val="0"/>
        </w:rPr>
        <w:br/>
      </w:r>
      <w:r>
        <w:rPr>
          <w:b w:val="0"/>
          <w:i w:val="0"/>
        </w:rPr>
        <w:br/>
      </w:r>
    </w:p>
    <w:p>
      <w:r>
        <w:rPr>
          <w:b w:val="0"/>
          <w:i w:val="0"/>
        </w:rPr>
        <w:br/>
      </w:r>
      <w:r>
        <w:rPr>
          <w:b/>
          <w:i w:val="0"/>
        </w:rPr>
        <w:br/>
      </w:r>
      <w:r>
        <w:rPr>
          <w:b/>
          <w:i w:val="0"/>
        </w:rPr>
        <w:br/>
      </w:r>
      <w:r>
        <w:rPr>
          <w:b/>
          <w:i w:val="0"/>
        </w:rPr>
        <w:t xml:space="preserve">BỘ NÔNG NGHIỆP VÀ </w:t>
      </w:r>
      <w:r>
        <w:rPr>
          <w:b/>
          <w:i w:val="0"/>
        </w:rPr>
        <w:br/>
      </w:r>
      <w:r>
        <w:rPr>
          <w:b/>
          <w:i w:val="0"/>
        </w:rPr>
        <w:br/>
      </w:r>
      <w:r>
        <w:rPr>
          <w:b/>
          <w:i w:val="0"/>
        </w:rPr>
        <w:br/>
      </w:r>
      <w:r>
        <w:rPr>
          <w:b/>
          <w:i w:val="0"/>
        </w:rPr>
        <w:t>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BỘ NÔNG NGHIỆP VÀ </w:t>
      </w:r>
      <w:r>
        <w:rPr>
          <w:b w:val="0"/>
          <w:i w:val="0"/>
        </w:rPr>
        <w:br/>
      </w:r>
      <w:r>
        <w:rPr>
          <w:b w:val="0"/>
          <w:i w:val="0"/>
        </w:rPr>
        <w:br/>
      </w:r>
      <w:r>
        <w:rPr>
          <w:b w:val="0"/>
          <w:i w:val="0"/>
        </w:rPr>
        <w:br/>
      </w:r>
      <w:r>
        <w:rPr>
          <w:b w:val="0"/>
          <w:i w:val="0"/>
        </w:rPr>
        <w:t>PHÁT TRIỂN NÔNG THÔN</w:t>
      </w:r>
      <w:r>
        <w:rPr>
          <w:b w:val="0"/>
          <w:i w:val="0"/>
        </w:rPr>
        <w:br/>
      </w:r>
      <w:r>
        <w:rPr>
          <w:b w:val="0"/>
          <w:i w:val="0"/>
        </w:rPr>
        <w:br/>
      </w:r>
      <w:r>
        <w:rPr>
          <w:b w:val="0"/>
          <w:i w:val="0"/>
        </w:rPr>
        <w:br/>
      </w:r>
    </w:p>
    <w:p>
      <w:r>
        <w:rPr>
          <w:b w:val="0"/>
          <w:i w:val="0"/>
        </w:rPr>
        <w:br/>
      </w:r>
      <w:r>
        <w:rPr>
          <w:b w:val="0"/>
          <w:i w:val="0"/>
        </w:rPr>
        <w:t xml:space="preserve">BỘ NÔNG NGHIỆP VÀ </w:t>
      </w:r>
      <w:r>
        <w:rPr>
          <w:b w:val="0"/>
          <w:i w:val="0"/>
        </w:rPr>
        <w:br/>
      </w:r>
    </w:p>
    <w:p>
      <w:r>
        <w:rPr>
          <w:b w:val="0"/>
          <w:i w:val="0"/>
        </w:rPr>
        <w:br/>
      </w:r>
      <w:r>
        <w:rPr>
          <w:b w:val="0"/>
          <w:i w:val="0"/>
        </w:rPr>
        <w:t>PHÁT 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49/2000/QĐ-BNN-BVTV</w:t>
      </w:r>
      <w:r>
        <w:rPr>
          <w:b w:val="0"/>
          <w:i w:val="0"/>
        </w:rPr>
        <w:br/>
      </w:r>
      <w:r>
        <w:rPr>
          <w:b w:val="0"/>
          <w:i w:val="0"/>
        </w:rPr>
        <w:br/>
      </w:r>
      <w:r>
        <w:rPr>
          <w:b w:val="0"/>
          <w:i/>
        </w:rPr>
        <w:br/>
      </w:r>
      <w:r>
        <w:rPr>
          <w:b w:val="0"/>
          <w:i/>
        </w:rPr>
        <w:t>Ngày 5 tháng 5 năm 2000</w:t>
      </w:r>
      <w:r>
        <w:rPr>
          <w:b w:val="0"/>
          <w:i/>
        </w:rPr>
        <w:br/>
      </w:r>
      <w:r>
        <w:rPr>
          <w:b w:val="0"/>
          <w:i w:val="0"/>
        </w:rPr>
        <w:br/>
      </w:r>
    </w:p>
    <w:p>
      <w:pPr>
        <w:jc w:val="center"/>
      </w:pPr>
      <w:r>
        <w:rPr>
          <w:b w:val="0"/>
          <w:i w:val="0"/>
        </w:rPr>
        <w:br/>
      </w:r>
      <w:r>
        <w:rPr>
          <w:b w:val="0"/>
          <w:i w:val="0"/>
        </w:rPr>
        <w:t>Số: 49/2000/QĐ-BNN-BVTV</w:t>
      </w:r>
      <w:r>
        <w:rPr>
          <w:b w:val="0"/>
          <w:i w:val="0"/>
        </w:rPr>
        <w:br/>
      </w:r>
    </w:p>
    <w:p>
      <w:pPr>
        <w:jc w:val="center"/>
      </w:pPr>
      <w:r>
        <w:rPr>
          <w:b w:val="0"/>
          <w:i w:val="0"/>
        </w:rPr>
        <w:br/>
      </w:r>
      <w:r>
        <w:rPr>
          <w:b w:val="0"/>
          <w:i w:val="0"/>
        </w:rPr>
        <w:t>Ngày 5 tháng 5 năm 2000</w:t>
      </w:r>
      <w:r>
        <w:rPr>
          <w:b w:val="0"/>
          <w:i w:val="0"/>
        </w:rPr>
        <w:br/>
      </w:r>
    </w:p>
    <w:p>
      <w:r>
        <w:rPr>
          <w:b/>
          <w:i w:val="0"/>
        </w:rPr>
        <w:t xml:space="preserve">QUYẾT ĐỊNH </w:t>
      </w:r>
    </w:p>
    <w:p>
      <w:r>
        <w:rPr>
          <w:b/>
          <w:i w:val="0"/>
        </w:rPr>
        <w:t>Về việc sửa đổi một số tên thuốc bảo vệ thực vật, tên đơn vị đăng ký sản phẩm trong danh mục thuốc bảo vệ thực vật được phép sử dụng, hạn chế sử dụng ở Việt Nam ban hành kèm theo Quyết định số 33/2000/QĐ/BNN-BVTV ngày 03 tháng 4 năm 2000 của Bộ trưởng Bộ Nông nghiệp và Phát triển nông thôn</w:t>
      </w:r>
    </w:p>
    <w:p>
      <w:r>
        <w:rPr>
          <w:b/>
          <w:i w:val="0"/>
        </w:rPr>
        <w:t>______________________________</w:t>
      </w:r>
    </w:p>
    <w:p>
      <w:r>
        <w:rPr>
          <w:b/>
          <w:i w:val="0"/>
        </w:rPr>
        <w:t xml:space="preserve">BỘ TRƯỞNG BỘ NÔNG NGHIỆP VÀ PHÁT TRIỂN NÔNG THÔN </w:t>
      </w:r>
    </w:p>
    <w:p>
      <w:pPr>
        <w:jc w:val="both"/>
      </w:pPr>
      <w:r>
        <w:rPr>
          <w:b w:val="0"/>
          <w:i/>
        </w:rPr>
        <w:t xml:space="preserve">        Căn cứ Nghị định số 73/CP ngày 01/11/1995 của Chính phủ quy định chức năng, nhiệm vụ, quyền hạn và tổ chức bộ máy của Bộ Nông nghiệp và Phát triển nông thôn;</w:t>
      </w:r>
      <w:r>
        <w:br/>
      </w:r>
      <w:r>
        <w:rPr>
          <w:b w:val="0"/>
          <w:i/>
        </w:rPr>
        <w:t xml:space="preserve">        Căn cứ Điều 26, Pháp lệnh Bảo vệ và Kiểm dịch thực vật, công bố ngày 15/2/1993;</w:t>
      </w:r>
      <w:r>
        <w:br/>
      </w:r>
      <w:r>
        <w:rPr>
          <w:b w:val="0"/>
          <w:i/>
        </w:rPr>
        <w:t xml:space="preserve">        Căn cứ Điều lệ quản lý thuốc bảo vệ thực vật ban hành kèm theo Nghị định số 92/CP ngày 27/11/1993 của Chính phủ và hướng dẫn thi hành Pháp lệnh</w:t>
      </w:r>
      <w:r>
        <w:rPr>
          <w:b w:val="0"/>
          <w:i w:val="0"/>
        </w:rPr>
        <w:t xml:space="preserve"> </w:t>
      </w:r>
      <w:r>
        <w:rPr>
          <w:b w:val="0"/>
          <w:i/>
        </w:rPr>
        <w:t>Bảo vệ và Kiểm dịch thực vật;</w:t>
      </w:r>
      <w:r>
        <w:br/>
      </w:r>
      <w:r>
        <w:rPr>
          <w:b w:val="0"/>
          <w:i/>
        </w:rPr>
        <w:t xml:space="preserve">        Xét đề nghị của các ông Cục trưởng Cục Bảo vệ thực vật, Vụ trưởng Vụ Khoa học công nghệ và chất lượng sản phẩm và Chánh Văn phòng Bộ,</w:t>
      </w:r>
    </w:p>
    <w:p>
      <w:r>
        <w:rPr>
          <w:b/>
          <w:i w:val="0"/>
        </w:rPr>
        <w:t xml:space="preserve">QUYẾT ĐỊNH </w:t>
      </w:r>
    </w:p>
    <w:p>
      <w:pPr>
        <w:jc w:val="both"/>
      </w:pPr>
      <w:r>
        <w:rPr>
          <w:b/>
          <w:i w:val="0"/>
        </w:rPr>
        <w:t xml:space="preserve">Điều 1. </w:t>
      </w:r>
      <w:r>
        <w:rPr>
          <w:b w:val="0"/>
          <w:i w:val="0"/>
        </w:rPr>
        <w:t>Sửa đổi một số tên thuốc bảo vệ thực vật trong danh mục thuốc bảo vệ thực vật được phép sử dụng ở Việt Nam ban hành kèm theo Quyết định số 33/2000/QĐ-BNN-BVTV ngày 03 tháng 4 năm 2000 của Bộ Nông nghiệp và PTNT về việc ban hành Danh mục thuốc bảo vệ thực vật được phép sử dụng, hạn chế sử dụng, cấm sử dụng ở Việt Nam có số thứ tự 5 (thuốc trừ sâu), 65 (thuốc trừ bệnh hại cây trồng)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TT</w:t>
            </w:r>
          </w:p>
        </w:tc>
        <w:tc>
          <w:tcPr>
            <w:tcW w:type="dxa" w:w="1728"/>
          </w:tcPr>
          <w:p>
            <w:r>
              <w:rPr>
                <w:b/>
                <w:i w:val="0"/>
              </w:rPr>
              <w:t>Tên thương mại đã có trong danh mục</w:t>
            </w:r>
          </w:p>
        </w:tc>
        <w:tc>
          <w:tcPr>
            <w:tcW w:type="dxa" w:w="1728"/>
          </w:tcPr>
          <w:p>
            <w:r>
              <w:rPr>
                <w:b w:val="0"/>
                <w:i w:val="0"/>
              </w:rPr>
              <w:br/>
            </w:r>
            <w:r>
              <w:rPr>
                <w:b/>
                <w:i w:val="0"/>
              </w:rPr>
              <w:t>Tên đơn vị đăng ký sản phẩm</w:t>
            </w:r>
          </w:p>
        </w:tc>
        <w:tc>
          <w:tcPr>
            <w:tcW w:type="dxa" w:w="1728"/>
          </w:tcPr>
          <w:p>
            <w:r>
              <w:rPr>
                <w:b w:val="0"/>
                <w:i w:val="0"/>
              </w:rPr>
              <w:br/>
            </w:r>
            <w:r>
              <w:rPr>
                <w:b/>
                <w:i w:val="0"/>
              </w:rPr>
              <w:t>Sửa đổi lại</w:t>
            </w:r>
          </w:p>
        </w:tc>
        <w:tc>
          <w:tcPr>
            <w:tcW w:type="dxa" w:w="1728"/>
          </w:tcPr>
          <w:p>
            <w:r>
              <w:rPr>
                <w:b/>
                <w:i w:val="0"/>
              </w:rPr>
              <w:t>Ghi chú</w:t>
            </w:r>
          </w:p>
        </w:tc>
      </w:tr>
    </w:tbl>
    <w:p>
      <w:r>
        <w:rPr>
          <w:b/>
          <w:i w:val="0"/>
        </w:rPr>
        <w:t xml:space="preserve">Điều 2. </w:t>
      </w:r>
      <w:r>
        <w:rPr>
          <w:b w:val="0"/>
          <w:i w:val="0"/>
        </w:rPr>
        <w:t>Điều chỉnh tên đơn vị đăng ký sản phẩm của các loại thuốc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TT</w:t>
            </w:r>
          </w:p>
        </w:tc>
        <w:tc>
          <w:tcPr>
            <w:tcW w:type="dxa" w:w="1728"/>
          </w:tcPr>
          <w:p>
            <w:r>
              <w:rPr>
                <w:b/>
                <w:i w:val="0"/>
              </w:rPr>
              <w:t>Tên thương mại đã có trong danh mục</w:t>
            </w:r>
          </w:p>
        </w:tc>
        <w:tc>
          <w:tcPr>
            <w:tcW w:type="dxa" w:w="1728"/>
          </w:tcPr>
          <w:p>
            <w:r>
              <w:rPr>
                <w:b/>
                <w:i w:val="0"/>
              </w:rPr>
              <w:t>Nhóm thuốc</w:t>
            </w:r>
          </w:p>
        </w:tc>
        <w:tc>
          <w:tcPr>
            <w:tcW w:type="dxa" w:w="1728"/>
          </w:tcPr>
          <w:p>
            <w:r>
              <w:rPr>
                <w:b/>
                <w:i w:val="0"/>
              </w:rPr>
              <w:t>Tên đơn vị</w:t>
            </w:r>
            <w:r>
              <w:br/>
            </w:r>
            <w:r>
              <w:rPr>
                <w:b/>
                <w:i w:val="0"/>
              </w:rPr>
              <w:br/>
              <w:t xml:space="preserve">         đăng ký sản phẩm</w:t>
            </w:r>
          </w:p>
        </w:tc>
        <w:tc>
          <w:tcPr>
            <w:tcW w:type="dxa" w:w="1728"/>
          </w:tcPr>
          <w:p>
            <w:r>
              <w:rPr>
                <w:b/>
                <w:i w:val="0"/>
              </w:rPr>
              <w:t>Sửa đổi lại</w:t>
            </w:r>
          </w:p>
        </w:tc>
      </w:tr>
    </w:tbl>
    <w:p>
      <w:pPr>
        <w:jc w:val="both"/>
      </w:pPr>
      <w:r>
        <w:rPr>
          <w:b/>
          <w:i w:val="0"/>
        </w:rPr>
        <w:t xml:space="preserve">Điều 3. </w:t>
      </w:r>
      <w:r>
        <w:rPr>
          <w:b w:val="0"/>
          <w:i w:val="0"/>
        </w:rPr>
        <w:t>Quyết định này có hiệu lực kể từ ngày ký.</w:t>
      </w:r>
    </w:p>
    <w:p>
      <w:pPr>
        <w:jc w:val="both"/>
      </w:pPr>
      <w:r>
        <w:rPr>
          <w:b w:val="0"/>
          <w:i w:val="0"/>
        </w:rPr>
        <w:t>Cục Bảo vệ thực vật chịu trách nhiệm hướng dẫn chi tiết cách sử dụng an toàn và hiệu quả các thuốc bảo vệ thực vật kể trên.</w:t>
      </w:r>
    </w:p>
    <w:p>
      <w:pPr>
        <w:jc w:val="both"/>
      </w:pPr>
      <w:r>
        <w:rPr>
          <w:b/>
          <w:i w:val="0"/>
        </w:rPr>
        <w:t xml:space="preserve">Điều 4. </w:t>
      </w:r>
      <w:r>
        <w:rPr>
          <w:b w:val="0"/>
          <w:i w:val="0"/>
        </w:rPr>
        <w:t>Các ông Chánh Văn phòng Bộ, Cục trưởng Cục Bảo vệ thực vật, Vụ trưởng Vụ Khoa học công nghệ và Chất lượng sản phẩm, Thủ trưởng các đơn vị thuộc Bộ và các tổ chức, cá nhân trong nước và người nước ngoài quản lý sản xuất, kinh doanh buôn bán và sử dụng thuốc bảo vệ thực vật ở Việt Nam chịu trách nhiệm thi hành quy định này./.</w:t>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Ngô Thế Dân</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Ngô Thế Dân</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Ngô Thế Dân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