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49/2004/QĐ-BCN Về việc sửa đổi khoản 1, khoản 3 Điều 1 Quyết định 225/2003/QĐ-BCN ngày 19 tháng 12 năm 2003 của Bộ trưởng Bộ Công nghiệp về việc chuyển Nhà máy Lưới thép Bình Tây thuộc Công ty Thép miền Nam thành Công ty cổ phần Lưới thép Bình Tây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CÔNG NGHIỆP</w:t>
            </w:r>
          </w:p>
        </w:tc>
        <w:tc>
          <w:tcPr>
            <w:tcW w:type="dxa" w:w="4320"/>
          </w:tcPr>
          <w:p>
            <w:r>
              <w:rPr>
                <w:b/>
                <w:i w:val="0"/>
              </w:rPr>
              <w:t>CỘNG HOÀ XÃ HỘI CHỦ NGHĨA VIỆT NAM</w:t>
            </w:r>
            <w:r>
              <w:br/>
            </w:r>
            <w:r>
              <w:rPr>
                <w:b/>
                <w:i w:val="0"/>
              </w:rPr>
              <w:br/>
              <w:t xml:space="preserve">          Độc lập - Tự do - Hạnh phúc</w:t>
            </w:r>
          </w:p>
        </w:tc>
      </w:tr>
    </w:tbl>
    <w:p>
      <w:r>
        <w:rPr>
          <w:b/>
          <w:i w:val="0"/>
        </w:rPr>
        <w:t xml:space="preserve">QUYẾT ĐỊNH </w:t>
      </w:r>
    </w:p>
    <w:p>
      <w:r>
        <w:rPr>
          <w:b/>
          <w:i w:val="0"/>
        </w:rPr>
        <w:t xml:space="preserve">Về việc sửa đổi khoản 1, khoản 3 Điều 1 Quyết định 225/2003/QĐ-BCN </w:t>
      </w:r>
      <w:r>
        <w:rPr>
          <w:b/>
          <w:i w:val="0"/>
        </w:rPr>
        <w:t xml:space="preserve">ngày 19 tháng 12 năm 2003 của Bộ trưởng Bộ Công nghiệp về việc chuyển </w:t>
      </w:r>
      <w:r>
        <w:rPr>
          <w:b/>
          <w:i w:val="0"/>
        </w:rPr>
        <w:t xml:space="preserve">Nhà máy Lưới thép Bình Tây thuộc Công ty Thép miền Nam </w:t>
      </w:r>
      <w:r>
        <w:rPr>
          <w:b/>
          <w:i w:val="0"/>
        </w:rPr>
        <w:t>thành Công ty cổ phần Lưới thép Bình Tây</w:t>
      </w:r>
    </w:p>
    <w:p>
      <w:r>
        <w:rPr>
          <w:b/>
          <w:i w:val="0"/>
        </w:rPr>
        <w:t>BỘ TRƯỞNG BỘ CÔNG NGHIỆP</w:t>
      </w:r>
    </w:p>
    <w:p>
      <w:pPr>
        <w:jc w:val="both"/>
      </w:pPr>
      <w:r>
        <w:rPr>
          <w:b w:val="0"/>
          <w:i/>
        </w:rPr>
        <w:t>Căn cứ Nghị định số 55/2003/NĐ-CP ngày 28 tháng 5 năm 2003 của Chính phủ quy định chức năng, nhiệm vụ, quyền hạn và cơ cấu tổ chức của Bộ Công nghiệp;</w:t>
      </w:r>
    </w:p>
    <w:p>
      <w:pPr>
        <w:jc w:val="both"/>
      </w:pPr>
      <w:r>
        <w:rPr>
          <w:b w:val="0"/>
          <w:i/>
        </w:rPr>
        <w:t>Căn cứ Nghị định số 64/2002/NĐ-CP ngày 19 tháng 6 năm 2002 của Chính phủ về việc chuyển doanh nghiệp nhà nước thành công ty cổ phần;</w:t>
      </w:r>
    </w:p>
    <w:p>
      <w:pPr>
        <w:jc w:val="both"/>
      </w:pPr>
      <w:r>
        <w:rPr>
          <w:b w:val="0"/>
          <w:i/>
        </w:rPr>
        <w:t xml:space="preserve">Xét đề nghị của Tổng công ty Thép Việt Nam (Tờ trình số 1228/T-TC ngày 07 tháng 6 năm 2004); </w:t>
      </w:r>
    </w:p>
    <w:p>
      <w:pPr>
        <w:jc w:val="both"/>
      </w:pPr>
      <w:r>
        <w:rPr>
          <w:b w:val="0"/>
          <w:i/>
        </w:rPr>
        <w:t xml:space="preserve">Theo đề nghị của Ban Đổi mới và Phát triển doanh nghiệp và Vụ trưởng Vụ Tổ chức - Cán bộ, </w:t>
      </w:r>
    </w:p>
    <w:p>
      <w:pPr>
        <w:jc w:val="center"/>
      </w:pPr>
      <w:r>
        <w:rPr>
          <w:b/>
          <w:i w:val="0"/>
        </w:rPr>
        <w:t>QUYẾT ĐỊNH:</w:t>
      </w:r>
    </w:p>
    <w:p>
      <w:pPr>
        <w:jc w:val="both"/>
      </w:pPr>
      <w:r>
        <w:rPr>
          <w:b/>
          <w:i w:val="0"/>
        </w:rPr>
        <w:t xml:space="preserve">Điều 1. </w:t>
      </w:r>
      <w:r>
        <w:rPr>
          <w:b w:val="0"/>
          <w:i w:val="0"/>
        </w:rPr>
        <w:t>Sửa đổi khoản 1, khoản 3 Điều 1 Quyết định 225/2003/QĐ-BCN ngày 19 tháng 12 năm 2003 của Bộ trưởng Bộ Công nghiệp về việc chuyển Nhà máy Lưới thép Bình Tây thuộc Công ty Thép miền Nam thành Công ty cổ phần Lưới thép Bình Tây như sau:</w:t>
      </w:r>
    </w:p>
    <w:p>
      <w:pPr>
        <w:jc w:val="both"/>
      </w:pPr>
      <w:r>
        <w:rPr>
          <w:b w:val="0"/>
          <w:i w:val="0"/>
        </w:rPr>
        <w:t>"1. Cơ cấu vốn điều lệ:</w:t>
      </w:r>
    </w:p>
    <w:p>
      <w:pPr>
        <w:jc w:val="both"/>
      </w:pPr>
      <w:r>
        <w:rPr>
          <w:b w:val="0"/>
          <w:i w:val="0"/>
        </w:rPr>
        <w:t>Vốn điều lệ của Công ty cổ phần là 12.750.000.000 đồng (Mười hai tỷ bảy trăm năm mươi triệu đồng chẵn).</w:t>
      </w:r>
    </w:p>
    <w:p>
      <w:pPr>
        <w:jc w:val="both"/>
      </w:pPr>
      <w:r>
        <w:rPr>
          <w:b w:val="0"/>
          <w:i w:val="0"/>
        </w:rPr>
        <w:t>- Tỷ lệ cổ phần của Nhà nước: 51,00 %;</w:t>
      </w:r>
    </w:p>
    <w:p>
      <w:pPr>
        <w:jc w:val="both"/>
      </w:pPr>
      <w:r>
        <w:rPr>
          <w:b w:val="0"/>
          <w:i w:val="0"/>
        </w:rPr>
        <w:t>- Tỷ lệ cổ phần bán cho người lao động trong Nhà máy: 12,07 %;</w:t>
      </w:r>
    </w:p>
    <w:p>
      <w:pPr>
        <w:jc w:val="both"/>
      </w:pPr>
      <w:r>
        <w:rPr>
          <w:b w:val="0"/>
          <w:i w:val="0"/>
        </w:rPr>
        <w:t>- Tỷ lệ cổ phần bán ra ngoài Nhà máy: 36,93 %.</w:t>
      </w:r>
    </w:p>
    <w:p>
      <w:pPr>
        <w:jc w:val="both"/>
      </w:pPr>
      <w:r>
        <w:rPr>
          <w:b w:val="0"/>
          <w:i w:val="0"/>
        </w:rPr>
        <w:t>Trị giá một cổ phần : 100.000 đồng."</w:t>
      </w:r>
    </w:p>
    <w:p>
      <w:pPr>
        <w:jc w:val="both"/>
      </w:pPr>
      <w:r>
        <w:rPr>
          <w:b w:val="0"/>
          <w:i w:val="0"/>
        </w:rPr>
        <w:t>"3. Ưu đãi cho người lao động trong Nhà máy.</w:t>
      </w:r>
    </w:p>
    <w:p>
      <w:pPr>
        <w:jc w:val="both"/>
      </w:pPr>
      <w:r>
        <w:rPr>
          <w:b w:val="0"/>
          <w:i w:val="0"/>
        </w:rPr>
        <w:t>Tổng số cổ phần bán ưu đãi cho 236 lao động trong Nhà máy là 14.027 cổ phần với giá trị được ưu đãi là 420.810.000 đồng."</w:t>
      </w:r>
    </w:p>
    <w:p>
      <w:pPr>
        <w:jc w:val="both"/>
      </w:pPr>
      <w:r>
        <w:rPr>
          <w:b/>
          <w:i w:val="0"/>
        </w:rPr>
        <w:t xml:space="preserve">Điều 2. </w:t>
      </w:r>
      <w:r>
        <w:rPr>
          <w:b w:val="0"/>
          <w:i w:val="0"/>
        </w:rPr>
        <w:t>Quyết định này có hiệu lực thi hành sau 15 ngày, kể từ ngày đăng Công báo.</w:t>
      </w:r>
    </w:p>
    <w:p>
      <w:pPr>
        <w:jc w:val="both"/>
      </w:pPr>
      <w:r>
        <w:rPr>
          <w:b w:val="0"/>
          <w:i w:val="0"/>
        </w:rPr>
        <w:t>Chánh Văn phòng Bộ, Chánh Thanh tra Bộ, các Vụ trưởng, Cục trưởng thuộc Bộ, Chủ tịch Hội đồng quản trị, Tổng giám đốc Tổng công ty Thép Việt Nam, Tổng giám đốc Công ty Thép miền Nam và Chủ tịch Hội đồng quản trị, Giám đốc Công ty cổ phần Lưới thép Bình Tây chịu trách nhiệm thi hành Quyết định này./.</w:t>
      </w:r>
    </w:p>
    <w:p>
      <w:pPr>
        <w:jc w:val="both"/>
      </w:pPr>
      <w:r>
        <w:rPr>
          <w:b w:val="0"/>
          <w:i w:val="0"/>
        </w:rPr>
        <w:br/>
      </w:r>
      <w:r>
        <w:rPr>
          <w:b w:val="0"/>
          <w:i w:val="0"/>
        </w:rPr>
        <w:br/>
      </w:r>
      <w:r>
        <w:rPr>
          <w:b/>
          <w:i w:val="0"/>
        </w:rPr>
        <w:br/>
      </w:r>
      <w:r>
        <w:rPr>
          <w:b/>
          <w:i w:val="0"/>
        </w:rPr>
        <w:br/>
        <w:t xml:space="preserve">      KT. BỘ TRƯỞNG</w:t>
        <w:br/>
        <w:t xml:space="preserve">     </w:t>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w:t>
        <w:br/>
        <w:t xml:space="preserve">     </w:t>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both"/>
      </w:pPr>
      <w:r>
        <w:rPr>
          <w:b w:val="0"/>
          <w:i w:val="0"/>
        </w:rPr>
        <w:br/>
      </w:r>
      <w:r>
        <w:rPr>
          <w:b/>
          <w:i w:val="0"/>
        </w:rPr>
        <w:br/>
        <w:t xml:space="preserve">      KT. BỘ TRƯỞNG</w:t>
        <w:br/>
        <w:t xml:space="preserve">     </w:t>
      </w:r>
      <w:r>
        <w:rPr>
          <w:b w:val="0"/>
          <w:i w:val="0"/>
        </w:rP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pPr>
        <w:jc w:val="center"/>
      </w:pPr>
      <w:r>
        <w:rPr>
          <w:b w:val="0"/>
          <w:i w:val="0"/>
        </w:rPr>
        <w:br/>
        <w:t xml:space="preserve">      KT. BỘ TRƯỞNG</w:t>
        <w:br/>
        <w:t xml:space="preserve">     </w:t>
      </w:r>
    </w:p>
    <w:p>
      <w:pPr>
        <w:jc w:val="center"/>
      </w:pPr>
      <w:r>
        <w:rPr>
          <w:b w:val="0"/>
          <w:i w:val="0"/>
        </w:rPr>
        <w:br/>
        <w:t xml:space="preserve">      THỨ TRƯỞNG</w:t>
        <w:br/>
        <w:t xml:space="preserve">     </w:t>
      </w:r>
    </w:p>
    <w:p>
      <w:pPr>
        <w:jc w:val="center"/>
      </w:pPr>
      <w:r>
        <w:rPr>
          <w:b w:val="0"/>
          <w:i w:val="0"/>
        </w:rPr>
        <w:br/>
        <w:t xml:space="preserve">      (Đã ký)</w:t>
        <w:br/>
        <w:t xml:space="preserve">     </w:t>
      </w:r>
    </w:p>
    <w:p>
      <w:pPr>
        <w:jc w:val="center"/>
      </w:pPr>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