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49/CT-UB-QLĐT Về việc tiếp nhận quỹ nhà ở thuộc sở hữu Nhà nước do các cơ quan Trung ương và thành phố tự quản lý nay chuyển giao cho ngành nhà đất thành phố để bán theo Nghị định 61/CP của Chính phủ.</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ỦY BAN NHÂN DÂN </w:t>
      </w:r>
      <w:r>
        <w:rPr>
          <w:b w:val="0"/>
          <w:i w:val="0"/>
        </w:rPr>
        <w:br/>
      </w:r>
      <w:r>
        <w:rPr>
          <w:b w:val="0"/>
          <w:i w:val="0"/>
        </w:rPr>
        <w:t>THÀNH PHỐ HỒ CHÍ MINH</w:t>
      </w:r>
      <w:r>
        <w:rPr>
          <w:b w:val="0"/>
          <w:i w:val="0"/>
        </w:rPr>
        <w:br/>
      </w:r>
      <w:r>
        <w:rPr>
          <w:b w:val="0"/>
          <w:i w:val="0"/>
        </w:rPr>
        <w:t>--------------------</w:t>
      </w:r>
      <w:r>
        <w:rPr>
          <w:b w:val="0"/>
          <w:i w:val="0"/>
        </w:rPr>
        <w:br/>
      </w:r>
      <w:r>
        <w:rPr>
          <w:b w:val="0"/>
          <w:i w:val="0"/>
        </w:rPr>
        <w:br/>
      </w:r>
      <w:r>
        <w:rPr>
          <w:b w:val="0"/>
          <w:i w:val="0"/>
        </w:rPr>
        <w:t xml:space="preserve">CỘNG HÒA XÃ HỘI CHỦ NGHĨA VIỆT NAM </w:t>
      </w:r>
      <w:r>
        <w:rPr>
          <w:b w:val="0"/>
          <w:i w:val="0"/>
        </w:rPr>
        <w:br/>
      </w:r>
      <w:r>
        <w:rPr>
          <w:b w:val="0"/>
          <w:i w:val="0"/>
        </w:rPr>
        <w:t xml:space="preserve">Độc lập - Tự do - Hạnh phúc </w:t>
      </w:r>
      <w:r>
        <w:rPr>
          <w:b w:val="0"/>
          <w:i w:val="0"/>
        </w:rPr>
        <w:br/>
      </w:r>
      <w:r>
        <w:rPr>
          <w:b w:val="0"/>
          <w:i w:val="0"/>
        </w:rPr>
        <w:t>-------------------</w:t>
      </w:r>
      <w:r>
        <w:rPr>
          <w:b w:val="0"/>
          <w:i w:val="0"/>
        </w:rPr>
        <w:br/>
      </w:r>
      <w:r>
        <w:rPr>
          <w:b w:val="0"/>
          <w:i w:val="0"/>
        </w:rPr>
        <w:br/>
      </w:r>
      <w:r>
        <w:rPr>
          <w:b w:val="0"/>
          <w:i w:val="0"/>
        </w:rPr>
        <w:br/>
      </w:r>
      <w:r>
        <w:rPr>
          <w:b w:val="0"/>
          <w:i w:val="0"/>
        </w:rPr>
        <w:t>sSố : 4</w:t>
      </w:r>
      <w:r>
        <w:rPr>
          <w:b w:val="0"/>
          <w:i w:val="0"/>
        </w:rPr>
        <w:t>9</w:t>
      </w:r>
      <w:r>
        <w:rPr>
          <w:b w:val="0"/>
          <w:i w:val="0"/>
        </w:rPr>
        <w:t>/</w:t>
      </w:r>
      <w:r>
        <w:rPr>
          <w:b w:val="0"/>
          <w:i w:val="0"/>
        </w:rPr>
        <w:t>C</w:t>
      </w:r>
      <w:r>
        <w:rPr>
          <w:b w:val="0"/>
          <w:i w:val="0"/>
        </w:rPr>
        <w:t>T</w:t>
      </w:r>
      <w:r>
        <w:rPr>
          <w:b w:val="0"/>
          <w:i w:val="0"/>
        </w:rPr>
        <w:t>-</w:t>
      </w:r>
      <w:r>
        <w:rPr>
          <w:b w:val="0"/>
          <w:i w:val="0"/>
        </w:rPr>
        <w:t>U</w:t>
      </w:r>
      <w:r>
        <w:rPr>
          <w:b w:val="0"/>
          <w:i w:val="0"/>
        </w:rPr>
        <w:t>B</w:t>
      </w:r>
      <w:r>
        <w:rPr>
          <w:b w:val="0"/>
          <w:i w:val="0"/>
        </w:rPr>
        <w:t>-</w:t>
      </w:r>
      <w:r>
        <w:rPr>
          <w:b w:val="0"/>
          <w:i w:val="0"/>
        </w:rPr>
        <w:t>Q</w:t>
      </w:r>
      <w:r>
        <w:rPr>
          <w:b w:val="0"/>
          <w:i w:val="0"/>
        </w:rPr>
        <w:t>L</w:t>
      </w:r>
      <w:r>
        <w:rPr>
          <w:b w:val="0"/>
          <w:i w:val="0"/>
        </w:rPr>
        <w:t>ĐT</w:t>
      </w:r>
      <w:r>
        <w:rPr>
          <w:b w:val="0"/>
          <w:i w:val="0"/>
        </w:rPr>
        <w:br/>
      </w:r>
      <w:r>
        <w:rPr>
          <w:b w:val="0"/>
          <w:i/>
        </w:rPr>
        <w:t>TP. Hồ Chí Minh, ngày 14/11/1994</w:t>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val="0"/>
          <w:i w:val="0"/>
        </w:rPr>
        <w:t>V/v tiếp nhận quỹ nhà ở thuộc sở hữu Nhà nước</w:t>
      </w:r>
      <w:r>
        <w:rPr>
          <w:b w:val="0"/>
          <w:i w:val="0"/>
        </w:rPr>
        <w:br/>
      </w:r>
      <w:r>
        <w:rPr>
          <w:b w:val="0"/>
          <w:i w:val="0"/>
        </w:rPr>
        <w:t xml:space="preserve"> do các cơ quan Trung ương và thành phố tự quản lý nay</w:t>
      </w:r>
      <w:r>
        <w:rPr>
          <w:b w:val="0"/>
          <w:i w:val="0"/>
        </w:rPr>
        <w:br/>
      </w:r>
      <w:r>
        <w:rPr>
          <w:b w:val="0"/>
          <w:i w:val="0"/>
        </w:rPr>
        <w:t>chuyển giao cho ngành nhà đất thành phố để bán theo</w:t>
      </w:r>
      <w:r>
        <w:rPr>
          <w:b w:val="0"/>
          <w:i w:val="0"/>
        </w:rPr>
        <w:br/>
      </w:r>
      <w:r>
        <w:rPr>
          <w:b w:val="0"/>
          <w:i w:val="0"/>
        </w:rPr>
        <w:t>Nghị định 61/CP của Chính phủ.</w:t>
      </w:r>
      <w:r>
        <w:rPr>
          <w:b w:val="0"/>
          <w:i w:val="0"/>
        </w:rPr>
        <w:br/>
      </w:r>
      <w:r>
        <w:rPr>
          <w:b w:val="0"/>
          <w:i w:val="0"/>
        </w:rPr>
        <w:t>*****</w:t>
      </w:r>
      <w:r>
        <w:rPr>
          <w:b w:val="0"/>
          <w:i w:val="0"/>
        </w:rPr>
        <w:br/>
      </w:r>
      <w:r>
        <w:rPr>
          <w:b w:val="0"/>
          <w:i w:val="0"/>
        </w:rPr>
        <w:t>Căn cứ Nghị định số 61/CP ngày 5/7/1994 của Chính phủ về mua bán và kinh doanh nhà ở.</w:t>
      </w:r>
      <w:r>
        <w:rPr>
          <w:b w:val="0"/>
          <w:i w:val="0"/>
        </w:rPr>
        <w:br/>
      </w:r>
      <w:r>
        <w:rPr>
          <w:b w:val="0"/>
          <w:i w:val="0"/>
        </w:rPr>
        <w:t>Thực hiện chủ trương bán nhà ở thuộc sở hữu Nhà nước của Chính phủ, Ủy ban nhân dân thành phố Hồ Chí Minh chỉ đạo như sau :</w:t>
      </w:r>
      <w:r>
        <w:rPr>
          <w:b w:val="0"/>
          <w:i w:val="0"/>
        </w:rPr>
        <w:br/>
      </w:r>
      <w:r>
        <w:rPr>
          <w:b w:val="0"/>
          <w:i w:val="0"/>
        </w:rPr>
        <w:t xml:space="preserve"> </w:t>
      </w:r>
      <w:r>
        <w:rPr>
          <w:b w:val="0"/>
          <w:i w:val="0"/>
        </w:rPr>
        <w:br/>
      </w:r>
      <w:r>
        <w:rPr>
          <w:b w:val="0"/>
          <w:i w:val="0"/>
        </w:rPr>
        <w:t>1- Tất cả nhà ở thuộc sở hữu Nhà nước do các cơ quan hành chánh sự nghiệp, lực lượng vũ trang, đoàn thể nhân dân, tổ chức chính trị, xã hội, các doanh nghiệp Nhà nước trên địa bàn thành phố Hồ Chí Minh (sau đây gọi chung là các cơ quan) tự quản lý nhà ở thuộc diện được bán theo Nghị định 61/CP thì đơn vị phải lập bảng thống kê (theo mẫu hướng dẫn của Sở Nhà đất) để chuyển giao nhà ở cho bên bán (thuộc ngành nhà đất thành phố) theo đúng quy định của chuyển giao tài sản cố định.</w:t>
      </w:r>
      <w:r>
        <w:rPr>
          <w:b w:val="0"/>
          <w:i w:val="0"/>
        </w:rPr>
        <w:br/>
      </w:r>
      <w:r>
        <w:rPr>
          <w:b w:val="0"/>
          <w:i w:val="0"/>
        </w:rPr>
        <w:t>Các cơ quan tự quản không được tự tổ chức bán nhà ở. Nhà ở được chuyển giao cho ngành nhà đất thành phố để thực hiện việc bán nhà phải được xác minh đúng là diện nhà ở thuộc sở hữu Nhà nước đã được xác định tại điều 5, chương II theo Nghị định 60/CP ngày 5/7/1994 của Thủ tướng Chính phủ.</w:t>
      </w:r>
      <w:r>
        <w:rPr>
          <w:b w:val="0"/>
          <w:i w:val="0"/>
        </w:rPr>
        <w:br/>
      </w:r>
      <w:r>
        <w:rPr>
          <w:b w:val="0"/>
          <w:i w:val="0"/>
        </w:rPr>
        <w:t xml:space="preserve"> </w:t>
      </w:r>
      <w:r>
        <w:rPr>
          <w:b w:val="0"/>
          <w:i w:val="0"/>
        </w:rPr>
        <w:br/>
      </w:r>
      <w:r>
        <w:rPr>
          <w:b w:val="0"/>
          <w:i w:val="0"/>
        </w:rPr>
        <w:t>2- Việc chuyển giao nhà ở thuộc sở hữu Nhà nước do các cơ quan tự quản đang quản lý sang bên bán nhà ở thực hiện như sau :</w:t>
      </w:r>
      <w:r>
        <w:rPr>
          <w:b w:val="0"/>
          <w:i w:val="0"/>
        </w:rPr>
        <w:br/>
      </w:r>
      <w:r>
        <w:rPr>
          <w:b w:val="0"/>
          <w:i w:val="0"/>
        </w:rPr>
        <w:t>a- Các cơ quan tự quản có nhiệm vụ :</w:t>
      </w:r>
      <w:r>
        <w:rPr>
          <w:b w:val="0"/>
          <w:i w:val="0"/>
        </w:rPr>
        <w:br/>
      </w:r>
      <w:r>
        <w:rPr>
          <w:b w:val="0"/>
          <w:i w:val="0"/>
        </w:rPr>
        <w:t>+ Lập bảng thống kê chuyển giao nhà ở trên cơ sở số liệu kiểm kê 0 giờ ngày 15/5/1992 và thực trạng nhà ở hiện nay. Bảng thống kê chuyển giao nhà ở của các đơn vị tự quản cho bên bán phải được phê duyệt bằng quyết định của Ủy ban nhân dân thành phố (nếu là nhà ở của các cơ quan tự quản thuộc thành phố quản lý) hoặc của Bộ, ngành Trung ương (nếu là nhà ở của các cơ quan tự quản thuộc Trung ương quản lý).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br/>
            </w:r>
            <w:r>
              <w:rPr>
                <w:b w:val="0"/>
                <w:i w:val="0"/>
              </w:rPr>
              <w:t>THÀNH PHỐ HỒ CHÍ MINH</w:t>
            </w:r>
            <w:r>
              <w:rPr>
                <w:b w:val="0"/>
                <w:i w:val="0"/>
              </w:rPr>
              <w:br/>
            </w:r>
            <w:r>
              <w:rPr>
                <w:b w:val="0"/>
                <w:i w:val="0"/>
              </w:rPr>
              <w:t>--------------------</w:t>
            </w:r>
          </w:p>
        </w:tc>
        <w:tc>
          <w:tcPr>
            <w:tcW w:type="dxa" w:w="4320"/>
          </w:tcPr>
          <w:p>
            <w:r>
              <w:rPr>
                <w:b w:val="0"/>
                <w:i w:val="0"/>
              </w:rPr>
              <w:br/>
            </w:r>
            <w:r>
              <w:rPr>
                <w:b w:val="0"/>
                <w:i w:val="0"/>
              </w:rPr>
              <w:t xml:space="preserve">CỘNG HÒA XÃ HỘI CHỦ NGHĨA VIỆT NAM </w:t>
            </w:r>
            <w:r>
              <w:rPr>
                <w:b w:val="0"/>
                <w:i w:val="0"/>
              </w:rPr>
              <w:br/>
            </w:r>
            <w:r>
              <w:rPr>
                <w:b w:val="0"/>
                <w:i w:val="0"/>
              </w:rPr>
              <w:t xml:space="preserve">Độc lập - Tự do - Hạnh phúc </w:t>
            </w:r>
            <w:r>
              <w:rPr>
                <w:b w:val="0"/>
                <w:i w:val="0"/>
              </w:rPr>
              <w:br/>
            </w:r>
            <w:r>
              <w:rPr>
                <w:b w:val="0"/>
                <w:i w:val="0"/>
              </w:rPr>
              <w:t>-------------------</w:t>
            </w:r>
          </w:p>
        </w:tc>
      </w:tr>
    </w:tbl>
    <w:p>
      <w:pPr>
        <w:jc w:val="both"/>
      </w:pPr>
      <w:r>
        <w:rPr>
          <w:b w:val="0"/>
          <w:i w:val="0"/>
        </w:rPr>
        <w:t>+ Gửi bảng thống kê và quyết định chuyển giao nhà ở cho bên bán (ngành nhà đất thành phố). Sau đó, cơ quan chuyển giao nhà ở phối hợp với bên bán và các cơ quan liên quan định giá tài sản, làm thủ tục bàn giao nhà kể cả hồ sơ liên quan đến từng căn nhà được chuyển giao.</w:t>
      </w:r>
    </w:p>
    <w:p>
      <w:pPr>
        <w:jc w:val="both"/>
      </w:pPr>
      <w:r>
        <w:rPr>
          <w:b w:val="0"/>
          <w:i w:val="0"/>
        </w:rPr>
        <w:t>b- Nhiệm vụ của bên bán nhà ở :</w:t>
      </w:r>
    </w:p>
    <w:p>
      <w:pPr>
        <w:jc w:val="both"/>
      </w:pPr>
      <w:r>
        <w:rPr>
          <w:b w:val="0"/>
          <w:i w:val="0"/>
        </w:rPr>
        <w:t>+ Sở Nhà đất thành phố chủ trì và hướng dẫn chuyển giao nhà ở của các cơ quan tự quản và tổ chức phân công các đơn vị quản lý nhà thành phố, quận, huyện tiếp nhận nhà theo đúng quy định của pháp luật về chuyển giao tài sản cố định. Việc tiếp nhận nhà phải tiến hành khẩn trương, chặt chẽ, chính xác.</w:t>
      </w:r>
    </w:p>
    <w:p>
      <w:pPr>
        <w:jc w:val="both"/>
      </w:pPr>
      <w:r>
        <w:rPr>
          <w:b w:val="0"/>
          <w:i w:val="0"/>
        </w:rPr>
        <w:t>+ Các đơn vị tiếp nhận và quản lý nhà thực hiện việc bán và cho thuê nhà ở theo qui định.</w:t>
      </w:r>
    </w:p>
    <w:p>
      <w:pPr>
        <w:jc w:val="both"/>
      </w:pPr>
      <w:r>
        <w:rPr>
          <w:b w:val="0"/>
          <w:i w:val="0"/>
        </w:rPr>
        <w:t>3- Căn cứ Quyết định số 244/QĐ-UB ngày 28/10/1981 của Ủy ban nhân dân thành phố qui định về việc phân công, phân cấp quản lý nhà tại thành phố Hồ Chí Minh, nay phân công các đơn vị tiếp nhận và quản lý nhà theo chỉ thị này như sau :</w:t>
      </w:r>
    </w:p>
    <w:p>
      <w:pPr>
        <w:jc w:val="both"/>
      </w:pPr>
      <w:r>
        <w:rPr>
          <w:b w:val="0"/>
          <w:i w:val="0"/>
        </w:rPr>
        <w:t>a- Công ty Quản lý kinh doanh nhà thành phố (thuộc Sở Nhà đất) tiếp nhận nhà thuộc loại : nhà biệt thự, nhà phố cấp II có diện tích xây dựng trên 200m2 trở lên.</w:t>
      </w:r>
    </w:p>
    <w:p>
      <w:pPr>
        <w:jc w:val="both"/>
      </w:pPr>
      <w:r>
        <w:rPr>
          <w:b w:val="0"/>
          <w:i w:val="0"/>
        </w:rPr>
        <w:t>b- Các loại nhà còn lại, trên địa bàn quận, huyện nào thì Công ty Quản lý kinh doanh nhà quận, huyện ấy tổ chức tiếp nhận. Nơi nào chưa có Công ty Quản lý kinh doanh nhà theo đúng qui định thì Phòng Quản lý đô thị (hoặc Phòng Xây dựng) quận, huyện trực tiếp tiếp nhận.</w:t>
      </w:r>
    </w:p>
    <w:p>
      <w:pPr>
        <w:jc w:val="both"/>
      </w:pPr>
      <w:r>
        <w:rPr>
          <w:b w:val="0"/>
          <w:i w:val="0"/>
        </w:rPr>
        <w:t>4- Giao cho Sở Nhà đất chủ trì cùng Cục Thống kê thành phố, Sở Tài chánh chuẩn bị biểu mẫu thống kê và các thủ tục cần thiết để hướng dẫn các cơ quan, đơn vị có liên quan thực hiện nội dung chỉ thị này.</w:t>
      </w:r>
    </w:p>
    <w:p>
      <w:pPr>
        <w:jc w:val="both"/>
      </w:pPr>
      <w:r>
        <w:rPr>
          <w:b w:val="0"/>
          <w:i w:val="0"/>
        </w:rPr>
        <w:t>5- Chỉ thị này được áp dụng cho các loại nhà ở thuộc sở hữu Nhà nước hiện do các cơ quan, đơn vị bố trí sử dụng ; được triển khai đến thủ trưởng các sở, ban, ngành, Ủy ban nhân dân các quận, huyện, các đơn vị và cơ quan của Trung ương đóng trên địa bàn thành phố Hồ Chí Minh.</w:t>
      </w:r>
    </w:p>
    <w:p>
      <w:pPr>
        <w:jc w:val="both"/>
      </w:pPr>
      <w:r>
        <w:rPr>
          <w:b w:val="0"/>
          <w:i w:val="0"/>
        </w:rPr>
        <w:t>Trong quá trình thực hiện có những vấn đề phát sinh ngoài thẩm quyền giải quyết của Ủy ban nhân dân quận, huyện và Sở Nhà đất, Sở Tài chánh thì Sở Nhà đất tập họp kịp thời báo cáo đề xuất cho Ủy ban nhân dân thành phố chỉ đạo xử lý.-</w:t>
      </w:r>
    </w:p>
    <w:p>
      <w:pPr>
        <w:jc w:val="center"/>
      </w:pPr>
      <w:r>
        <w:rPr>
          <w:b/>
          <w:i w:val="0"/>
        </w:rPr>
        <w:t xml:space="preserve">                                                               T/M  BAN NHÂN DÂN THÀNH PHỐ </w:t>
      </w:r>
    </w:p>
    <w:p>
      <w:pPr>
        <w:jc w:val="center"/>
      </w:pPr>
      <w:r>
        <w:rPr>
          <w:b/>
          <w:i w:val="0"/>
        </w:rPr>
        <w:t xml:space="preserve">                                                                    K/T Chủ tịch </w:t>
      </w:r>
    </w:p>
    <w:p>
      <w:pPr>
        <w:jc w:val="center"/>
      </w:pPr>
      <w:r>
        <w:rPr>
          <w:b/>
          <w:i w:val="0"/>
        </w:rPr>
        <w:t xml:space="preserve">                                                                    Phó chủ  tịch </w:t>
      </w:r>
    </w:p>
    <w:p>
      <w:pPr>
        <w:jc w:val="center"/>
      </w:pPr>
      <w:r>
        <w:rPr>
          <w:b/>
          <w:i w:val="0"/>
        </w:rPr>
        <w:t xml:space="preserve">                                                                       ( Đã ký  ) </w:t>
      </w:r>
    </w:p>
    <w:p>
      <w:pPr>
        <w:jc w:val="center"/>
      </w:pPr>
      <w:r>
        <w:rPr>
          <w:b/>
          <w:i w:val="0"/>
        </w:rPr>
        <w:t xml:space="preserve">                                                                    Võ Viết Thanh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