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5109/QĐ-UBND năm 2007 về việc thu hồi và giao đất cho người mua nhà ở, nhận chuyển nhượng quyền sử dụng đất ở của Công ty liên doanh Phú Mỹ Hưng tại khu A - Khu đô thị mới Nam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THU HỒI VÀ GIAO ĐẤT CHO NGƯỜI MUA NHÀ Ở, NHẬN CHUYỂN NHƯỢNG</w:t>
      </w:r>
    </w:p>
    <w:p>
      <w:pPr>
        <w:jc w:val="center"/>
      </w:pPr>
      <w:r>
        <w:rPr>
          <w:b w:val="0"/>
          <w:i w:val="0"/>
        </w:rPr>
        <w:t xml:space="preserve"> QUYỀN SỬ DỤNG ĐẤT Ở CỦA CÔNG TY LIÊN DOANH PHÚ MỸ HƯNG TẠI KHU A - </w:t>
      </w:r>
    </w:p>
    <w:p>
      <w:pPr>
        <w:jc w:val="center"/>
      </w:pPr>
      <w:r>
        <w:rPr>
          <w:b w:val="0"/>
          <w:i w:val="0"/>
        </w:rPr>
        <w:t>KHU ĐÔ THỊ MỚI NAM THÀNH PHỐ</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Đất đai năm 2003;</w:t>
      </w:r>
      <w:r>
        <w:br/>
      </w:r>
      <w:r>
        <w:rPr>
          <w:b w:val="0"/>
          <w:i/>
        </w:rPr>
        <w:br/>
        <w:t xml:space="preserve">      Căn cứ Nghị định số 181/2004/NĐ-CP ngày 29 tháng 10 năm 2004 của Chính phủ về thi hành Luật Đất đai;</w:t>
      </w:r>
      <w:r>
        <w:br/>
      </w:r>
      <w:r>
        <w:rPr>
          <w:b w:val="0"/>
          <w:i/>
        </w:rPr>
        <w:br/>
        <w:t xml:space="preserve">      Căn cứ Quyết định số 865/TTg ngày 26 tháng 11 năm 1996 của Thủ tướng Chính phủ về việc cho Công ty Phát triển Công nghiệp Tân Thuận thuê 600ha đất để góp vốn liên doanh xây dựng và kinh doanh cơ sở hạ tầng tại Khu Đô thị mới Nam thành phố;</w:t>
      </w:r>
      <w:r>
        <w:br/>
      </w:r>
      <w:r>
        <w:rPr>
          <w:b w:val="0"/>
          <w:i/>
        </w:rPr>
        <w:br/>
        <w:t xml:space="preserve">      Căn cứ Công văn số 4156/UB-ĐT ngày 28 tháng 11 năm 2002 của  Ủy ban nhân dân thành phố về việc ban hành phụ lục về trình tự, thủ tục thuê nhà ở, bán nhà ở, chuyển nhượng quyền sử dụng đất ở của Công ty Liên doanh Phú Mỹ Hưng;</w:t>
      </w:r>
      <w:r>
        <w:br/>
      </w:r>
      <w:r>
        <w:rPr>
          <w:b w:val="0"/>
          <w:i/>
        </w:rPr>
        <w:br/>
        <w:t xml:space="preserve">      Căn cứ Quyết định số 112/2002/QĐ-UB ngày 08 tháng 10 năm 2002 của Ủy ban nhân dân thành phố về việc ban hành quy định về cơ chế và phương thức kinh doanh của Công ty Liên doanh Phú Mỹ Hưng;</w:t>
      </w:r>
      <w:r>
        <w:br/>
      </w:r>
      <w:r>
        <w:rPr>
          <w:b w:val="0"/>
          <w:i/>
        </w:rPr>
        <w:br/>
        <w:t xml:space="preserve">      Căn cứ Quyết định số 6555/QĐ-UBND ngày 27 tháng 12 năm 2005 của Ủy ban nhân dân thành phố phê duyệt nhiệm vụ điều chỉnh quy hoạch chi tiết xây dựng Khu Đô thị mới Nam thành phố 1/5000;</w:t>
      </w:r>
      <w:r>
        <w:br/>
      </w:r>
      <w:r>
        <w:rPr>
          <w:b w:val="0"/>
          <w:i/>
        </w:rPr>
        <w:br/>
        <w:t xml:space="preserve">      Căn cứ Quyết định số 2038/QĐ-UBND ngày 04 tháng 5 năm 2007  của Ủy ban nhân dân thành phố duyệt điều chỉnh quy hoạch chi tiết xây dựng tỷ lệ 1/2000 khu A thuộc Khu Đô thị mới Nam thành phố;</w:t>
      </w:r>
      <w:r>
        <w:br/>
      </w:r>
      <w:r>
        <w:rPr>
          <w:b w:val="0"/>
          <w:i/>
        </w:rPr>
        <w:br/>
        <w:t xml:space="preserve">      Xét đề nghị của Trưởng Ban Ban Quản lý Khu Nam tại Công văn số 1073/BQLKN-ĐĐMT ngày 06 </w:t>
      </w:r>
      <w:r>
        <w:rPr>
          <w:b w:val="0"/>
          <w:i/>
        </w:rPr>
        <w:t>tháng 11 năm 2007,</w:t>
      </w:r>
    </w:p>
    <w:p>
      <w:pPr>
        <w:jc w:val="center"/>
      </w:pPr>
      <w:r>
        <w:rPr>
          <w:b/>
          <w:i w:val="0"/>
        </w:rPr>
        <w:t>QUYẾT ĐỊNH</w:t>
      </w:r>
    </w:p>
    <w:p>
      <w:r>
        <w:rPr>
          <w:b/>
          <w:i w:val="0"/>
        </w:rPr>
        <w:t xml:space="preserve">Điều 1. </w:t>
      </w:r>
      <w:r>
        <w:rPr>
          <w:b w:val="0"/>
          <w:i w:val="0"/>
        </w:rPr>
        <w:t>Nay thu hồi 1.569,9m2 (một ngàn năm trăm sáu mươi chín phẩy chín vuông) đất thuộc thửa số 1326, 1333, 1335 tờ bản đồ số 6 xã Tân Quy Đông (tài liệu chỉnh lý ảnh năm 1990) nay thuộc phường Tân Phong quận 7; thửa 329, 417 tờ bản đồ số 32 phường Tân Phong quận 7 (tài liệu năm 2003) của Công ty Phát triển Công nghiệp Tân Thuận trong tổng số 600ha đất thuê để góp vốn trong Công ty Liên doanh Phú Mỹ Hưng, đồng thời giao quyền sử dụng đất ở ổn định lâu dài cho 14 (mười bốn) hộ gia đình, cá nhân mua nhà ở, nhận chuyển nhượng quyền sử dụng đất ở của Công ty Liên doanh Phú Mỹ Hưng theo danh sách đính kèm.</w:t>
      </w:r>
    </w:p>
    <w:p>
      <w:r>
        <w:rPr>
          <w:b/>
          <w:i w:val="0"/>
        </w:rPr>
        <w:t xml:space="preserve">Điều 2. </w:t>
      </w:r>
      <w:r>
        <w:rPr>
          <w:b w:val="0"/>
          <w:i w:val="0"/>
        </w:rPr>
        <w:t>Căn cứ Điều 1 của Quyết định này, Ban Quản lý khu Nam, Cục Thuế thành phố, Sở Tài nguyên và Môi trường, Ủy ban nhân dân quận 7 có trách nhiệm:</w:t>
      </w:r>
    </w:p>
    <w:p>
      <w:r>
        <w:rPr>
          <w:b w:val="0"/>
          <w:i w:val="0"/>
        </w:rPr>
        <w:t>1. Ban Quản lý Khu Nam: Hướng dẫn Công ty Liên doanh Phú Mỹ Hưng thực hiện các nghĩa vụ tài chính theo quy định.</w:t>
      </w:r>
    </w:p>
    <w:p>
      <w:r>
        <w:rPr>
          <w:b w:val="0"/>
          <w:i w:val="0"/>
        </w:rPr>
        <w:t>2. Cục Thuế thành phố: Thu tiền sử dụng đất, lệ phí trước bạ, truy thu thuế chuyển quyền sử dụng đất và các khoản khác (nếu có) của người được giao đất theo quy định.</w:t>
      </w:r>
    </w:p>
    <w:p>
      <w:r>
        <w:rPr>
          <w:b w:val="0"/>
          <w:i w:val="0"/>
        </w:rPr>
        <w:t>3. Sở Tài nguyên và Môi trường: Cập nhật biến động trên giấy chứng nhận quyền sử dụng đất đã tách cấp cho Công ty Liên doanh Phú Mỹ Hưng theo quy định.</w:t>
      </w:r>
    </w:p>
    <w:p>
      <w:r>
        <w:rPr>
          <w:b w:val="0"/>
          <w:i w:val="0"/>
        </w:rPr>
        <w:t>4. Ủy ban nhân dân quận 7: Cấp giấy chứng nhận quyền sở hữu nhà ở và quyền sử dụng đất ở cho các hộ gia đình, cá nhân theo quy định.</w:t>
      </w:r>
    </w:p>
    <w:p>
      <w:r>
        <w:rPr>
          <w:b/>
          <w:i w:val="0"/>
        </w:rPr>
        <w:t xml:space="preserve">Điều 3. </w:t>
      </w:r>
      <w:r>
        <w:rPr>
          <w:b w:val="0"/>
          <w:i w:val="0"/>
        </w:rPr>
        <w:t>Chánh Văn phòng Hội đồng nhân dân và Ủy ban nhân dân thành phố, Trưởng Ban Quản lý Khu Nam, Cục Trưởng Cục Thuế, Giám đốc Sở Tài nguyên và Môi trường, Chủ tịch Ủy ban nhân dân quận 7, Chủ tịch Ủy ban nhân dân phường Tân Phong, quận 7, Giám đốc Công ty Phát triển Công nghiệp Tân Thuận, Giám đốc Công ty Liên doanh Phú Mỹ Hưng và các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rPr>
                <w:b/>
                <w:i w:val="0"/>
              </w:rPr>
              <w:br/>
              <w:t xml:space="preserve">          Nguyễn Hữu Tín</w:t>
            </w:r>
          </w:p>
        </w:tc>
      </w:tr>
    </w:tbl>
    <w:p>
      <w:pPr>
        <w:jc w:val="center"/>
      </w:pPr>
      <w:r>
        <w:rPr>
          <w:b/>
          <w:i w:val="0"/>
        </w:rPr>
        <w:t>DANH SÁCH</w:t>
      </w:r>
    </w:p>
    <w:p>
      <w:pPr>
        <w:jc w:val="center"/>
      </w:pPr>
      <w:r>
        <w:rPr>
          <w:b w:val="0"/>
          <w:i w:val="0"/>
        </w:rPr>
        <w:t>TỔ CHỨC, HỘ GIA ĐÌNH, CÁ NHÂN ĐƯỢC GIAO ĐẤT ĐỂ XÂY DỰNG NHÀ Ở</w:t>
      </w:r>
      <w:r>
        <w:br/>
      </w:r>
      <w:r>
        <w:rPr>
          <w:b w:val="0"/>
          <w:i/>
        </w:rPr>
        <w:t>(ban hành kèm theo Quyết định số 5109/QĐ-UBND ngày 13 tháng 11 năm 2007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 T T</w:t>
            </w:r>
          </w:p>
        </w:tc>
        <w:tc>
          <w:tcPr>
            <w:tcW w:type="dxa" w:w="1440"/>
          </w:tcPr>
          <w:p>
            <w:r>
              <w:rPr>
                <w:b w:val="0"/>
                <w:i w:val="0"/>
              </w:rPr>
              <w:br/>
            </w:r>
            <w:r>
              <w:rPr>
                <w:b w:val="0"/>
                <w:i w:val="0"/>
              </w:rPr>
              <w:t>Họ và tên</w:t>
            </w:r>
          </w:p>
        </w:tc>
        <w:tc>
          <w:tcPr>
            <w:tcW w:type="dxa" w:w="1440"/>
          </w:tcPr>
          <w:p>
            <w:r>
              <w:rPr>
                <w:b w:val="0"/>
                <w:i w:val="0"/>
              </w:rPr>
              <w:br/>
            </w:r>
            <w:r>
              <w:rPr>
                <w:b w:val="0"/>
                <w:i w:val="0"/>
              </w:rPr>
              <w:t>Địa chỉ thường trú</w:t>
            </w:r>
          </w:p>
        </w:tc>
        <w:tc>
          <w:tcPr>
            <w:tcW w:type="dxa" w:w="1440"/>
          </w:tcPr>
          <w:p>
            <w:r>
              <w:rPr>
                <w:b w:val="0"/>
                <w:i w:val="0"/>
              </w:rPr>
              <w:br/>
            </w:r>
            <w:r>
              <w:rPr>
                <w:b w:val="0"/>
                <w:i w:val="0"/>
              </w:rPr>
              <w:t>Diện tích được giao (m2)</w:t>
            </w:r>
          </w:p>
        </w:tc>
        <w:tc>
          <w:tcPr>
            <w:tcW w:type="dxa" w:w="1440"/>
          </w:tcPr>
          <w:p>
            <w:r>
              <w:rPr>
                <w:b w:val="0"/>
                <w:i w:val="0"/>
              </w:rPr>
              <w:br/>
            </w:r>
            <w:r>
              <w:rPr>
                <w:b w:val="0"/>
                <w:i w:val="0"/>
              </w:rPr>
              <w:t>Địa điểm khu đất được giao</w:t>
            </w:r>
          </w:p>
        </w:tc>
        <w:tc>
          <w:tcPr>
            <w:tcW w:type="dxa" w:w="144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