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5150/QĐ-UB-QLĐT năm 1997 về việc chuyển sang thuê đất các trường hợp sử dụng đất vào mục đích sản xuất kinh doanh đã có quyết định giao đất trong năm 1993 - 1994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r>
        <w:br/>
      </w:r>
      <w:r>
        <w:rPr>
          <w:b w:val="0"/>
          <w:i w:val="0"/>
        </w:rPr>
        <w:t xml:space="preserve">VỀ VIỆC CHUYỂN SANG THUÊ ĐẤT CÁC TRƯỜNG HỢP SỬ DỤNG ĐẤT VÀO MỤC ĐÍCH </w:t>
      </w:r>
      <w:r>
        <w:br/>
      </w:r>
      <w:r>
        <w:rPr>
          <w:b w:val="0"/>
          <w:i w:val="0"/>
        </w:rPr>
        <w:br/>
        <w:t xml:space="preserve">     SẢN XUẤT KINH DOANH ĐÃ CÓ QUYẾT ĐỊNH GIAO ĐẤ T TRONG NĂM 1993 - 1994.</w:t>
      </w:r>
    </w:p>
    <w:p>
      <w:pPr>
        <w:jc w:val="center"/>
      </w:pPr>
      <w:r>
        <w:rPr>
          <w:b/>
          <w:i w:val="0"/>
        </w:rPr>
        <w:t>ỦY BAN NHÂN DÂN THÀNH PHỐ HỒ CHÍ MINH</w:t>
      </w:r>
    </w:p>
    <w:p>
      <w:r>
        <w:rPr>
          <w:b w:val="0"/>
          <w:i/>
        </w:rPr>
        <w:t>- Căn cứ Luật tổ chức Hội đồng nhân dân và Ủy ban nhân dân ngày 21 tháng 6 năm 1994;</w:t>
      </w:r>
    </w:p>
    <w:p>
      <w:r>
        <w:rPr>
          <w:b w:val="0"/>
          <w:i/>
        </w:rPr>
        <w:t>- Căn cứ Luật đất đai ban hành ngày 14/7/1993;</w:t>
      </w:r>
    </w:p>
    <w:p>
      <w:r>
        <w:rPr>
          <w:b w:val="0"/>
          <w:i/>
        </w:rPr>
        <w:t>- Căn cứ Nghị định số 85/CP ngày 17/12/1996 của Chính phủ quy định việc thi hành Pháp lệnh về quyền và nghĩa vụ của các tổ chức trong nước được Nhà nước giao đất, cho thuê đất;</w:t>
      </w:r>
    </w:p>
    <w:p>
      <w:r>
        <w:rPr>
          <w:b w:val="0"/>
          <w:i/>
        </w:rPr>
        <w:t>- Xét đề nghị của Giám đốc Sở Địa chính tại tờ trình số 1508/CV-QHKH ngày 6 tháng 9 năm 1997;</w:t>
      </w:r>
    </w:p>
    <w:p>
      <w:pPr>
        <w:jc w:val="center"/>
      </w:pPr>
      <w:r>
        <w:rPr>
          <w:b/>
          <w:i w:val="0"/>
        </w:rPr>
        <w:t>QUYẾT ĐỊNH</w:t>
      </w:r>
    </w:p>
    <w:p>
      <w:r>
        <w:rPr>
          <w:b/>
          <w:i w:val="0"/>
        </w:rPr>
        <w:t xml:space="preserve">Điều 1. </w:t>
      </w:r>
      <w:r>
        <w:rPr>
          <w:b w:val="0"/>
          <w:i w:val="0"/>
        </w:rPr>
        <w:t>Nay chuyển từ hình thức giao đất sang thuê đất đối với các khu đất đã giao cho các đơn vị theo danh sách đính kèm.</w:t>
      </w:r>
    </w:p>
    <w:p>
      <w:r>
        <w:rPr>
          <w:b w:val="0"/>
          <w:i w:val="0"/>
        </w:rPr>
        <w:t>Thời gian thuê đất là 50 năm kể từ ngày 01/01/1996.</w:t>
      </w:r>
    </w:p>
    <w:p>
      <w:r>
        <w:rPr>
          <w:b/>
          <w:i w:val="0"/>
        </w:rPr>
        <w:t xml:space="preserve">Điều 2. </w:t>
      </w:r>
      <w:r>
        <w:rPr>
          <w:b w:val="0"/>
          <w:i w:val="0"/>
        </w:rPr>
        <w:t>Căn cứ vào Điều 1 của quyết định này, Sở Địa chính và Cục Thuế thành phố giải quyết :</w:t>
      </w:r>
    </w:p>
    <w:p>
      <w:r>
        <w:rPr>
          <w:b w:val="0"/>
          <w:i w:val="0"/>
        </w:rPr>
        <w:t>2.1. Sở Địa chính :</w:t>
      </w:r>
    </w:p>
    <w:p>
      <w:r>
        <w:rPr>
          <w:b w:val="0"/>
          <w:i w:val="0"/>
        </w:rPr>
        <w:t xml:space="preserve">- Ký hợp đồng cho thuê đất. </w:t>
      </w:r>
    </w:p>
    <w:p>
      <w:r>
        <w:rPr>
          <w:b w:val="0"/>
          <w:i w:val="0"/>
        </w:rPr>
        <w:t>- Lập giấy chứng nhận quyền sử dụng đất trình Ủy ban nhân dân thành phố ký.</w:t>
      </w:r>
    </w:p>
    <w:p>
      <w:r>
        <w:rPr>
          <w:b w:val="0"/>
          <w:i w:val="0"/>
        </w:rPr>
        <w:t>2.2. Cục Thuế thành phố :</w:t>
      </w:r>
    </w:p>
    <w:p>
      <w:r>
        <w:rPr>
          <w:b w:val="0"/>
          <w:i w:val="0"/>
        </w:rPr>
        <w:t xml:space="preserve">- Tính toán, kiểm tra và duyệt giá thuê đất. </w:t>
      </w:r>
    </w:p>
    <w:p>
      <w:r>
        <w:rPr>
          <w:b w:val="0"/>
          <w:i w:val="0"/>
        </w:rPr>
        <w:t>- Thu tiền thuê đất của các đơn vị và các loại thuế khác theo quy định của pháp luật.</w:t>
      </w:r>
    </w:p>
    <w:p>
      <w:r>
        <w:rPr>
          <w:b/>
          <w:i w:val="0"/>
        </w:rPr>
        <w:t>Điều 3.</w:t>
      </w:r>
    </w:p>
    <w:p>
      <w:r>
        <w:rPr>
          <w:b w:val="0"/>
          <w:i w:val="0"/>
        </w:rPr>
        <w:t>a. Khi xây dựng chủ sử dụng phải xin phép theo quy định hiện hành.</w:t>
      </w:r>
    </w:p>
    <w:p>
      <w:r>
        <w:rPr>
          <w:b w:val="0"/>
          <w:i w:val="0"/>
        </w:rPr>
        <w:t>b. Sau 12 tháng không sử dụng đất, hoặc sử dụng không đúng mục đích, ranh giới như trong quyết định thuê đất, khu đất sẽ bị thu hồi.</w:t>
      </w:r>
    </w:p>
    <w:p>
      <w:r>
        <w:rPr>
          <w:b w:val="0"/>
          <w:i w:val="0"/>
        </w:rPr>
        <w:t>c. Sau khi có quyết định thuê đất, chủ sử dụng đất phải đăng ký tại Ủy ban nhân dân phường, xã - quận, huyện nơi có khu đất.</w:t>
      </w:r>
    </w:p>
    <w:p>
      <w:r>
        <w:rPr>
          <w:b/>
          <w:i w:val="0"/>
        </w:rPr>
        <w:t>Điều 4.</w:t>
      </w:r>
      <w:r>
        <w:rPr>
          <w:b/>
          <w:i w:val="0"/>
        </w:rPr>
        <w:t xml:space="preserve"> </w:t>
      </w:r>
      <w:r>
        <w:rPr>
          <w:b w:val="0"/>
          <w:i w:val="0"/>
        </w:rPr>
        <w:t>Chánh Văn phòng Ủy ban nhân dân thành phố, Giám đốc Sở Địa chính, Cục Trưởng Cục Thuế, Kiến trúc sư trưởng thành phố, Chủ tịch Ủy ban nhân dân các quận 1, 6, 8, Gò Vấp, Bình Thạnh, Tân Bình, Thủ Đức, 2, 9, 12, 7, các huyện Bình Chánh, Hóc Môn, Nhà Bè, Củ Chi ; Chủ tịch Ủy ban nhân dân các phường, xã nơi có khu đất và Giám đốc các Công ty, đơn vị có tên trong danh sách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K/T CHỦ TỊCH</w:t>
            </w:r>
            <w:r>
              <w:br/>
            </w:r>
            <w:r>
              <w:rPr>
                <w:b/>
                <w:i w:val="0"/>
              </w:rPr>
              <w:br/>
              <w:t xml:space="preserve">          PHÓ CHỦ TỊCH</w:t>
            </w:r>
            <w:r>
              <w:br/>
            </w:r>
            <w:r>
              <w:br/>
            </w:r>
            <w:r>
              <w:rPr>
                <w:b/>
                <w:i w:val="0"/>
              </w:rPr>
              <w:br/>
              <w:t xml:space="preserve">          Vũ Hùng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