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5162/2004/QĐ-UB Về việc thu phí giao thông qua cầu Mỹ Thạnh, huyện Giồng Trôm.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val="0"/>
          <w:i w:val="0"/>
        </w:rPr>
        <w:t>Số: 5162/2004/QĐ-UB</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Bến Tre, ngày 31 tháng 12 năm 2004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ỦY BAN NHÂN DÂN TỈNH BẾN TRE</w:t>
      </w:r>
      <w:r>
        <w:rPr>
          <w:b w:val="0"/>
          <w:i w:val="0"/>
        </w:rPr>
        <w:br/>
      </w:r>
      <w:r>
        <w:rPr>
          <w:b/>
          <w:i w:val="0"/>
        </w:rPr>
        <w:t>Về việc thu phí giao thông qua cầu Mỹ Thạnh, huyện Giồng Trôm</w:t>
      </w:r>
      <w:r>
        <w:rPr>
          <w:b w:val="0"/>
          <w:i w:val="0"/>
        </w:rPr>
        <w:br/>
      </w:r>
      <w:r>
        <w:rPr>
          <w:b/>
          <w:i w:val="0"/>
        </w:rPr>
        <w:t xml:space="preserve"> </w:t>
      </w:r>
      <w:r>
        <w:rPr>
          <w:b w:val="0"/>
          <w:i w:val="0"/>
        </w:rPr>
        <w:br/>
      </w:r>
      <w:r>
        <w:rPr>
          <w:b/>
          <w:i w:val="0"/>
        </w:rPr>
        <w:t>ỦY BAN NHÂN DÂN TỈNH</w:t>
      </w:r>
      <w:r>
        <w:rPr>
          <w:b w:val="0"/>
          <w:i w:val="0"/>
        </w:rPr>
        <w:br/>
      </w:r>
      <w:r>
        <w:rPr>
          <w:b w:val="0"/>
          <w:i w:val="0"/>
        </w:rPr>
        <w:t xml:space="preserve"> - Căn cứ Luật Tổ chức Hội đồng nhân dân và Ủy ban nhân dân ngày 26 tháng 11 năm 2003;</w:t>
      </w:r>
      <w:r>
        <w:rPr>
          <w:b w:val="0"/>
          <w:i w:val="0"/>
        </w:rPr>
        <w:br/>
      </w:r>
      <w:r>
        <w:rPr>
          <w:b w:val="0"/>
          <w:i w:val="0"/>
        </w:rPr>
        <w:t xml:space="preserve"> - Căn cứ Nghị định số: 57/2002/NĐ-CP ngày 03/6/2002 của Chính phủ quy định chi tiết thi hành Pháp lệnh phí và lệ phí;</w:t>
      </w:r>
      <w:r>
        <w:rPr>
          <w:b w:val="0"/>
          <w:i w:val="0"/>
        </w:rPr>
        <w:br/>
      </w:r>
      <w:r>
        <w:rPr>
          <w:b w:val="0"/>
          <w:i w:val="0"/>
        </w:rPr>
        <w:t xml:space="preserve"> - Căn cứ Thông tư số: 71/2003/TT-BTC ngày 30/7/2003 của Bộ Tài chính hướng dẫn về Phí thuộc thẩm quyền quyết định của Hội đồng nhân dân tỉnh, thành phố trực thuộc Trung ương;</w:t>
      </w:r>
      <w:r>
        <w:rPr>
          <w:b w:val="0"/>
          <w:i w:val="0"/>
        </w:rPr>
        <w:br/>
      </w:r>
      <w:r>
        <w:rPr>
          <w:b w:val="0"/>
          <w:i w:val="0"/>
        </w:rPr>
        <w:t xml:space="preserve"> - Căn cứ Nghị quyết số: 19/2004/NQ-HĐND ngày 28/12/2004 của Hội đồng nhân dân tỉnh Bến Tre về các Tờ trình của Uỷ ban nhân dân tỉnh trình tại kỳ họp thứ 3 - Hội đồng nhân dân tỉnh – Khoá VII;</w:t>
      </w:r>
      <w:r>
        <w:rPr>
          <w:b w:val="0"/>
          <w:i w:val="0"/>
        </w:rPr>
        <w:br/>
      </w:r>
      <w:r>
        <w:rPr>
          <w:b w:val="0"/>
          <w:i w:val="0"/>
        </w:rPr>
        <w:t xml:space="preserve"> - Theo đề nghị của Giám đốc Sở Tài chính ngày 30/12/2004,</w:t>
      </w:r>
      <w:r>
        <w:rPr>
          <w:b w:val="0"/>
          <w:i w:val="0"/>
        </w:rPr>
        <w:br/>
      </w:r>
      <w:r>
        <w:rPr>
          <w:b/>
          <w:i w:val="0"/>
        </w:rPr>
        <w:t>QUYẾT ĐỊNH:</w:t>
      </w:r>
      <w:r>
        <w:rPr>
          <w:b w:val="0"/>
          <w:i w:val="0"/>
        </w:rPr>
        <w:br/>
      </w:r>
      <w:r>
        <w:rPr>
          <w:b/>
          <w:i w:val="0"/>
        </w:rPr>
        <w:t xml:space="preserve">Điều 1: </w:t>
      </w:r>
      <w:r>
        <w:rPr>
          <w:b w:val="0"/>
          <w:i w:val="0"/>
        </w:rPr>
        <w:t>Nay phê duyệt thu phí giao thông qua cầu Mỹ Thạnh, huyện Giồng Trôm với đối tượng và mức thu cụ thể như sau:</w:t>
      </w:r>
      <w:r>
        <w:rPr>
          <w:b w:val="0"/>
          <w:i w:val="0"/>
        </w:rPr>
        <w:br/>
      </w:r>
      <w:r>
        <w:rPr>
          <w:b w:val="0"/>
          <w:i w:val="0"/>
        </w:rPr>
        <w:t>- Người đi xe đạp 1.000đ</w:t>
      </w:r>
      <w:r>
        <w:rPr>
          <w:b w:val="0"/>
          <w:i w:val="0"/>
        </w:rPr>
        <w:br/>
      </w:r>
      <w:r>
        <w:rPr>
          <w:b w:val="0"/>
          <w:i w:val="0"/>
        </w:rPr>
        <w:t>- Người đi xe mô tô, xe gắn máy 1.500đ</w:t>
      </w:r>
      <w:r>
        <w:rPr>
          <w:b w:val="0"/>
          <w:i w:val="0"/>
        </w:rPr>
        <w:br/>
      </w:r>
      <w:r>
        <w:rPr>
          <w:b w:val="0"/>
          <w:i w:val="0"/>
        </w:rPr>
        <w:t>- Xe ba gát, xe lôi đạp 2.500đ</w:t>
      </w:r>
      <w:r>
        <w:rPr>
          <w:b w:val="0"/>
          <w:i w:val="0"/>
        </w:rPr>
        <w:br/>
      </w:r>
      <w:r>
        <w:rPr>
          <w:b w:val="0"/>
          <w:i w:val="0"/>
        </w:rPr>
        <w:t>- Xe lôi máy, xe lam 4.000đ</w:t>
      </w:r>
      <w:r>
        <w:rPr>
          <w:b w:val="0"/>
          <w:i w:val="0"/>
        </w:rPr>
        <w:br/>
      </w:r>
      <w:r>
        <w:rPr>
          <w:b w:val="0"/>
          <w:i w:val="0"/>
        </w:rPr>
        <w:t>- Xe ôtô dưới 09 chỗ ngồi 8.000đ</w:t>
      </w:r>
      <w:r>
        <w:rPr>
          <w:b w:val="0"/>
          <w:i w:val="0"/>
        </w:rPr>
        <w:br/>
      </w:r>
      <w:r>
        <w:rPr>
          <w:b w:val="0"/>
          <w:i w:val="0"/>
        </w:rPr>
        <w:t>- Xe ôtô từ 09 chỗ ngồi đến dưới 15 chỗ ngồi 12.000đ</w:t>
      </w:r>
      <w:r>
        <w:rPr>
          <w:b w:val="0"/>
          <w:i w:val="0"/>
        </w:rPr>
        <w:br/>
      </w:r>
      <w:r>
        <w:rPr>
          <w:b w:val="0"/>
          <w:i w:val="0"/>
        </w:rPr>
        <w:t>- Xe ôtô từ 15 chỗ ngồi đến dưới 30 chỗ ngồi 16.000đ</w:t>
      </w:r>
      <w:r>
        <w:rPr>
          <w:b w:val="0"/>
          <w:i w:val="0"/>
        </w:rPr>
        <w:br/>
      </w:r>
      <w:r>
        <w:rPr>
          <w:b w:val="0"/>
          <w:i w:val="0"/>
        </w:rPr>
        <w:t>- Xe có trọng tải từ 01 tấn trở lại, máy cày 10.000đ</w:t>
      </w:r>
      <w:r>
        <w:rPr>
          <w:b w:val="0"/>
          <w:i w:val="0"/>
        </w:rPr>
        <w:br/>
      </w:r>
      <w:r>
        <w:rPr>
          <w:b w:val="0"/>
          <w:i w:val="0"/>
        </w:rPr>
        <w:t>- Xe có trọng tải trên 01 tấn đến 02 tấn 13.000đ</w:t>
      </w:r>
      <w:r>
        <w:rPr>
          <w:b w:val="0"/>
          <w:i w:val="0"/>
        </w:rPr>
        <w:br/>
      </w:r>
      <w:r>
        <w:rPr>
          <w:b w:val="0"/>
          <w:i w:val="0"/>
        </w:rPr>
        <w:t>- Xe có trọng tải trên 02 tấn đến 03 tấn,</w:t>
      </w:r>
      <w:r>
        <w:rPr>
          <w:b w:val="0"/>
          <w:i w:val="0"/>
        </w:rPr>
        <w:br/>
      </w:r>
      <w:r>
        <w:rPr>
          <w:b w:val="0"/>
          <w:i w:val="0"/>
        </w:rPr>
        <w:t xml:space="preserve">                  máy cày có rơmóc 16.000đ</w:t>
      </w:r>
      <w:r>
        <w:rPr>
          <w:b w:val="0"/>
          <w:i w:val="0"/>
        </w:rPr>
        <w:br/>
      </w:r>
      <w:r>
        <w:rPr>
          <w:b w:val="0"/>
          <w:i w:val="0"/>
        </w:rPr>
        <w:t>- Vé tháng cho người đi xe đạp 10.000đ</w:t>
      </w:r>
      <w:r>
        <w:rPr>
          <w:b w:val="0"/>
          <w:i w:val="0"/>
        </w:rPr>
        <w:br/>
      </w:r>
      <w:r>
        <w:rPr>
          <w:b w:val="0"/>
          <w:i w:val="0"/>
        </w:rPr>
        <w:t>- Vé tháng cho người đi môtô, xe gắn máy 20.000đ</w:t>
      </w:r>
      <w:r>
        <w:rPr>
          <w:b w:val="0"/>
          <w:i w:val="0"/>
        </w:rPr>
        <w:br/>
      </w:r>
      <w:r>
        <w:rPr>
          <w:b w:val="0"/>
          <w:i w:val="0"/>
        </w:rPr>
        <w:t xml:space="preserve">* </w:t>
      </w:r>
      <w:r>
        <w:rPr>
          <w:b w:val="0"/>
          <w:i w:val="0"/>
        </w:rPr>
        <w:t>Miễn thu phí đối với người đi bộ và các đối tượng:</w:t>
      </w:r>
      <w:r>
        <w:rPr>
          <w:b w:val="0"/>
          <w:i w:val="0"/>
        </w:rPr>
        <w:t xml:space="preserve"> học sinh, thương binh, cán bộ công tác ở ấp, xã không có lương trên địa bàn thuộc 2 xã Mỹ Thạnh và Thuận Điền.</w:t>
      </w:r>
      <w:r>
        <w:rPr>
          <w:b w:val="0"/>
          <w:i w:val="0"/>
        </w:rPr>
        <w:br/>
      </w:r>
      <w:r>
        <w:rPr>
          <w:b w:val="0"/>
          <w:i w:val="0"/>
        </w:rPr>
        <w:t xml:space="preserve">* </w:t>
      </w:r>
      <w:r>
        <w:rPr>
          <w:b w:val="0"/>
          <w:i w:val="0"/>
        </w:rPr>
        <w:t>Thời gian thu phí</w:t>
      </w:r>
      <w:r>
        <w:rPr>
          <w:b w:val="0"/>
          <w:i w:val="0"/>
        </w:rPr>
        <w:t>: bắt đầu từ ngày 01/01/2005. Khi trả hết nợ vay và bố trí được vốn ngân sách cho phần còn lại thì kết thúc.</w:t>
      </w:r>
      <w:r>
        <w:rPr>
          <w:b w:val="0"/>
          <w:i w:val="0"/>
        </w:rPr>
        <w:br/>
      </w:r>
      <w:r>
        <w:rPr>
          <w:b/>
          <w:i w:val="0"/>
        </w:rPr>
        <w:t>Điều 2:</w:t>
      </w:r>
      <w:r>
        <w:rPr>
          <w:b/>
          <w:i w:val="0"/>
        </w:rPr>
        <w:t xml:space="preserve"> </w:t>
      </w:r>
      <w:r>
        <w:rPr>
          <w:b w:val="0"/>
          <w:i w:val="0"/>
        </w:rPr>
        <w:t>Giao cho Công ty Xây dựng và Khai thác Công trình giao thông Bến Tre tổ chức thu phí. Toàn bộ kinh phí thu được giao cho Công ty sử dụng vào việc trả lãi vay vốn đầu tư, chi cho công tác phục vụ thu phí. Số dư (nếu có phát sinh) nộp ngân sách nhà nước và hàng tháng báo cáo tình hình hoạt động về  Sở Tài chính, Sở Giao thông Vận tải để theo dõi, kiểm tra.</w:t>
      </w:r>
      <w:r>
        <w:rPr>
          <w:b w:val="0"/>
          <w:i w:val="0"/>
        </w:rPr>
        <w:br/>
      </w:r>
      <w:r>
        <w:rPr>
          <w:b/>
          <w:i w:val="0"/>
        </w:rPr>
        <w:t>Điều 3</w:t>
      </w:r>
      <w:r>
        <w:rPr>
          <w:b/>
          <w:i w:val="0"/>
        </w:rPr>
        <w:t xml:space="preserve">: </w:t>
      </w:r>
      <w:r>
        <w:rPr>
          <w:b w:val="0"/>
          <w:i w:val="0"/>
        </w:rPr>
        <w:t>Các Ông (Bà) Chánh văn phòng Ủy ban nhân dân tỉnh, Giám đốc các Sở: Tài chính, Giao thông vận tải, Giám đốc Công ty Xây dựng và Khai thác công trình giao thông, Chủ tịch Ủy ban nhân dân huyện Giồng Trôm và các đối tượng lưu thông qua cầu Mỹ Thạnh căn cứ quyết định thi hành.</w:t>
      </w:r>
      <w:r>
        <w:rPr>
          <w:b w:val="0"/>
          <w:i w:val="0"/>
        </w:rPr>
        <w:br/>
      </w:r>
      <w:r>
        <w:rPr>
          <w:b w:val="0"/>
          <w:i w:val="0"/>
        </w:rPr>
        <w:t>Quyết định này có hiệu lực kể từ ngày 01/01/2005./.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TM. ỦY BAN NHÂN DÂN TỈNH</w:t>
      </w:r>
      <w:r>
        <w:rPr>
          <w:b w:val="0"/>
          <w:i w:val="0"/>
        </w:rPr>
        <w:br/>
      </w:r>
      <w:r>
        <w:rPr>
          <w:b w:val="0"/>
          <w:i w:val="0"/>
        </w:rPr>
        <w:t>KT.CHỦ TỊCH</w:t>
      </w:r>
      <w:r>
        <w:rPr>
          <w:b w:val="0"/>
          <w:i w:val="0"/>
        </w:rPr>
        <w:br/>
      </w:r>
      <w:r>
        <w:rPr>
          <w:b w:val="0"/>
          <w:i w:val="0"/>
        </w:rPr>
        <w:t>PHÓ CHỦ TỊCH</w:t>
      </w:r>
      <w:r>
        <w:rPr>
          <w:b w:val="0"/>
          <w:i w:val="0"/>
        </w:rPr>
        <w:br/>
      </w:r>
      <w:r>
        <w:rPr>
          <w:b w:val="0"/>
          <w:i/>
        </w:rPr>
        <w:t>(Đã ký)</w:t>
      </w:r>
      <w:r>
        <w:rPr>
          <w:b w:val="0"/>
          <w:i w:val="0"/>
        </w:rPr>
        <w:br/>
      </w:r>
      <w:r>
        <w:rPr>
          <w:b w:val="0"/>
          <w:i w:val="0"/>
        </w:rPr>
        <w:t>Nguyễn Thị Thanh Hà</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r>
              <w:rPr>
                <w:b w:val="0"/>
                <w:i w:val="0"/>
              </w:rPr>
              <w:br/>
            </w:r>
            <w:r>
              <w:rPr>
                <w:b w:val="0"/>
                <w:i w:val="0"/>
              </w:rPr>
              <w:br/>
            </w:r>
            <w:r>
              <w:rPr>
                <w:b w:val="0"/>
                <w:i w:val="0"/>
              </w:rPr>
              <w:t>Số: 5162/2004/QĐ-UB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Bến Tre, ngày 31 tháng 12 năm 2004</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TM. ỦY BAN NHÂN DÂN TỈNH</w:t>
            </w:r>
            <w:r>
              <w:rPr>
                <w:b w:val="0"/>
                <w:i w:val="0"/>
              </w:rPr>
              <w:br/>
            </w:r>
            <w:r>
              <w:rPr>
                <w:b w:val="0"/>
                <w:i w:val="0"/>
              </w:rPr>
              <w:t>KT.CHỦ TỊCH</w:t>
            </w:r>
            <w:r>
              <w:rPr>
                <w:b w:val="0"/>
                <w:i w:val="0"/>
              </w:rPr>
              <w:br/>
            </w:r>
            <w:r>
              <w:rPr>
                <w:b w:val="0"/>
                <w:i w:val="0"/>
              </w:rPr>
              <w:t>PHÓ CHỦ TỊCH</w:t>
            </w:r>
            <w:r>
              <w:rPr>
                <w:b w:val="0"/>
                <w:i w:val="0"/>
              </w:rPr>
              <w:br/>
            </w:r>
            <w:r>
              <w:rPr>
                <w:b w:val="0"/>
                <w:i/>
              </w:rPr>
              <w:t>(Đã ký)</w:t>
            </w:r>
            <w:r>
              <w:rPr>
                <w:b w:val="0"/>
                <w:i w:val="0"/>
              </w:rPr>
              <w:br/>
            </w:r>
            <w:r>
              <w:rPr>
                <w:b w:val="0"/>
                <w:i w:val="0"/>
              </w:rPr>
              <w:t>Nguyễn Thị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