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52 TC/TCĐN Hướng dẫn chế độ nộp ngoại tệ theo nghĩa vụ cho quỹ ngoại tệ tập trung của nhà nước theo Quyết định 218/CT ngày 18/8/89 của Chủ tịch Hội đồng Bộ trưởng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br/>
            </w:r>
            <w:r>
              <w:rPr>
                <w:b w:val="0"/>
                <w:i w:val="0"/>
              </w:rPr>
              <w:br/>
            </w:r>
            <w:r>
              <w:rPr>
                <w:b w:val="0"/>
                <w:i w:val="0"/>
              </w:rPr>
              <w:t>Số : 52 TC/TCĐN</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val="0"/>
              </w:rPr>
              <w:t>Hà nội ngày 10 tháng 11 năm 1989</w:t>
            </w:r>
          </w:p>
        </w:tc>
      </w:tr>
    </w:tbl>
    <w:p>
      <w:r>
        <w:rPr>
          <w:b/>
          <w:i w:val="0"/>
        </w:rPr>
        <w:t>THÔNG TƯ</w:t>
      </w:r>
    </w:p>
    <w:p>
      <w:r>
        <w:rPr>
          <w:b/>
          <w:i w:val="0"/>
        </w:rPr>
        <w:t xml:space="preserve">Hướng dẫn chế độ nộp ngoại tệ theo nghĩa vụ cho quỹ ngoại tệ </w:t>
      </w:r>
    </w:p>
    <w:p>
      <w:r>
        <w:rPr>
          <w:b/>
          <w:i w:val="0"/>
        </w:rPr>
        <w:t xml:space="preserve">tập trung của nhà nước theo Quyết định 218/CT ngày 18/8/89 </w:t>
      </w:r>
    </w:p>
    <w:p>
      <w:r>
        <w:rPr>
          <w:b/>
          <w:i w:val="0"/>
        </w:rPr>
        <w:t>của Chủ tịch Hội đồng Bộ trưởng.</w:t>
      </w:r>
    </w:p>
    <w:p>
      <w:r>
        <w:rPr>
          <w:b w:val="0"/>
          <w:i w:val="0"/>
        </w:rPr>
        <w:t>______________________________</w:t>
      </w:r>
    </w:p>
    <w:p>
      <w:pPr>
        <w:jc w:val="both"/>
      </w:pPr>
      <w:r>
        <w:rPr>
          <w:b w:val="0"/>
          <w:i/>
        </w:rPr>
        <w:t>Chủ tịch Hội đồng Bộ trưởng đã ban hành Quyết định số 218/CT ngày 18/8/1989 liên quan đến việc lập quỹ ngoại tệ tập trung của Nhà nước. Bộ Tài chính hướng dẫn việc thi hành các điểm 4,5,6 ở điều II của Quyết định 218/CT nói trên như sau:</w:t>
      </w:r>
    </w:p>
    <w:p>
      <w:r>
        <w:rPr>
          <w:b/>
          <w:i w:val="0"/>
        </w:rPr>
        <w:t>I. NGUYÊN TẮC CHUNG:</w:t>
      </w:r>
    </w:p>
    <w:p>
      <w:r>
        <w:rPr>
          <w:b w:val="0"/>
          <w:i w:val="0"/>
        </w:rPr>
        <w:t>1/ Những cá nhân được cử đi hợp tác chuyên gia, hợp tác lao động; những các nhân được cử đi làm việc trong các tổ chức quốc tế, các công ty nước ngoài và công ty hợp doanh với nước ngoài được trả lương bằng ngoại tệ; Những cá nhân được cử đi công tác, học tập ... ngắn ngày ở nước do nước ngoài đài thọ bằng ngoại tệ đều phải nộp cho quĩ ngoại tệ tập trung của Nhà nước khoản chênh lệch giưã số ngoại tệ do nước ngoài trả so với mức ngoại tệ mà cá nhân được hưởng theo các chế độ tài chính của Bộ Tài chính qui định (hiện nay là các thông tư số 41 TC/NTNT ngày 10/10/1984 về chế độ đãi ngộ đối với chuyên gia làm việc ở các nước ngoài XHCN; Thông tư Liên Bộ Tài chính - Xây dựng số 16/TTLB ngày 23/5/1989 về việc phân phối thu nhập của các đối tượng đi hợp tác lao động ở Irắc; Thông tư số 10-TC/NTNT ngày 24/3/1989 và số 02-TC/NTNT ngày 28/1/1989 của Bộ Tài chính qui định chế độ điều tiết thu nhập cho NSNN đối với các đối tượng được cử đi học tập và công tác ở nước ngoài do nước ngoài đài thọ chi phív.v...).</w:t>
      </w:r>
    </w:p>
    <w:p>
      <w:r>
        <w:rPr>
          <w:b w:val="0"/>
          <w:i w:val="0"/>
        </w:rPr>
        <w:t>2/ Các Bộ, ngành, địa phương chủ quản của các đối tượng nói ở điểm 1 trên đây có trách nhiệm hướng dẫn, tổ chức, đôn đốc thu nộp số ngoại tệ chênh lệch phải nộp cho quỹ ngoại tệ tâp trung của nhà nước. Đối với các trường hợp chưa có thông tư hướng dẫn của Bộ Tài chính thì Bộ, ngành, địa phương chủ quản của đối tượng trên đây làm việc với Bộ Tài chính để xác định mức ngoại tệ được hưởng và mức chênh lệch phải nộp.</w:t>
      </w:r>
    </w:p>
    <w:p>
      <w:r>
        <w:rPr>
          <w:b w:val="0"/>
          <w:i w:val="0"/>
        </w:rPr>
        <w:t>3/ Các Bộ, ngành, địa phương có số dư ngoại tệ trên tài khoản tiền gửi thuộc nguồn thu nói ở điểm 1 trên đây (trừ Bộ Y tế, Bộ Đại học và THCN có qui định riêng của Chủ tịch Hội đồng Bộ trưởng) phải làm thủ tục chuyển số dư đó vào quỹ ngoại tệ tập trung của Nhà nước (tài khoản số 120) tại Ngân hàng Ngoại thương Việt Nam. Trường hợp các đơn vị chủ tài khoản đã bố trí kế hoạch chi ngoại tệ từ số dư trên đây thì đơn vị đó làm việc với Bộ Tài chính để xem xét, giải quyết theo từng trường hợp cụ thể.</w:t>
      </w:r>
    </w:p>
    <w:p>
      <w:r>
        <w:rPr>
          <w:b/>
          <w:i w:val="0"/>
        </w:rPr>
        <w:t>II. THỂ THỨC TIẾN HÀNH THU NỘP VÀO QUỸ NGOẠI TỆ TẬP TRUNG CỦA NHÀ NƯỚC.</w:t>
      </w:r>
    </w:p>
    <w:p>
      <w:r>
        <w:rPr>
          <w:b w:val="0"/>
          <w:i w:val="0"/>
        </w:rPr>
        <w:t>1/ Trường hợp số thu nộp là tiền địa phương không chuyển đổi thì cơ quan đại diện ngoại giao ta ở nước sở tại (nơi phát sinh nguồn thu) có trách nhiệm thu nộp vào quỹ tạm giữ của ngân sách Nhà nước theo qui định tại thông tư số 50 TC/TCĐN ngày /11/1989 của Bộ Tài chính hướng dẫn chế độ quản lý quĩ tạm giữ của NSNN ở các đại sứ quán và cơ quan đại diện ngoại giao ta ở nước ngoài.</w:t>
      </w:r>
    </w:p>
    <w:p>
      <w:r>
        <w:rPr>
          <w:b w:val="0"/>
          <w:i w:val="0"/>
        </w:rPr>
        <w:t xml:space="preserve">2/ Trường hợp số thu nộp là ngoại tệ chuyển đổi. </w:t>
      </w:r>
    </w:p>
    <w:p>
      <w:pPr>
        <w:jc w:val="both"/>
      </w:pPr>
      <w:r>
        <w:rPr>
          <w:b w:val="0"/>
          <w:i w:val="0"/>
        </w:rPr>
        <w:t xml:space="preserve">a/ Đối với số ngoại tệ thu của các đối tượng đi hợp tác chuyên gia, hợp tác lao động thì các bộ phận quản lý chuyên gia, quản lý lao động ta ở nước sở tại hoặc Bộ chủ quản (trường hợp các đơn vị do Bộ chủ quản tự tổ chức và quản lý) có trách nhiệm tổ chức đôn đốc thu, chuyển số thu đó vào quĩ ngoại tệ - tập trung của Nhà nước, Trường hợp số thu trên đây được dùng để Chính phủ ta trả nợ chính phủ nước có thuê chuyên gia và lao động nước ta thì Bộ chủ quản của các đối tượng có nghiã vụ nộp (các Bộ Giao thông vận tải, Xây dựng, Thuỷ lợi, Kinh tế đối ngoại....) có trách nhiệm tổ chức hạch toán số thu nộp thông qua việc trích trả nợ để có cơ sở làm quyết toán số thu đó với Bộ Tài chính. Hàng quí các bộ phận quản lý chuyên gia, quản lý lao động ở các cơ quan đại diện ngoại giao có trách nhiệm báo cáo số ngoại tệ thực thu (chênh lệch giữa số bạn phải trả và phần cá nhân được hưởng) về cho Bộ Tài chính. Trong trường hợp số thực thu dùng để trở nợ thì bộ phận quản lý ở các nước có trách nhiệm báo cáo số tiền thực thu theo hợp đồng để trả nợ, số tiền đã được các đơn vị của bạn chuyển vào ngân hàng ở nước chuyển vào ngân hàng ở nước bạn để trừ nợ, số tiền còn chưa được chuyển vào ngân hàng để trừ nợ. </w:t>
      </w:r>
    </w:p>
    <w:p>
      <w:pPr>
        <w:jc w:val="both"/>
      </w:pPr>
      <w:r>
        <w:rPr>
          <w:b w:val="0"/>
          <w:i w:val="0"/>
        </w:rPr>
        <w:t xml:space="preserve">b/ Đối với những cá nhân đi dự hội nghị, khảo sát, thực tập .... ở nước ngoài được các tổ chức quốc tế hoặc nước ngoài đạì thọ; những cá nhân được cử đi làm việc trong các tổ chức quốc tế được tổ chức đó trả lương bằng ngoại tệ thì nộp số ngoại tệ nghĩa vụ theo một trong 2 cách sau đây: </w:t>
      </w:r>
    </w:p>
    <w:p>
      <w:pPr>
        <w:jc w:val="both"/>
      </w:pPr>
      <w:r>
        <w:rPr>
          <w:b w:val="0"/>
          <w:i w:val="0"/>
        </w:rPr>
        <w:t xml:space="preserve">+ Trường hợp mang ngoại tệ về nước để nộp ở trong nước thì cơ quan chủ quản của đối tượng có nghĩa vụ nộp căn cứ vào chế độ và tỷ lệ điều tiết đã qui định, xác định số tiền chênh lệch nộp vào tài khoản tiền gửi quĩ ngoại tệ tập trung của Nhà nước tại Ngân hàng Ngoại thương Việt nam (tài khoản số 120-001) và báo cáo quyết toán với Bộ Tài chính , kèm theo giấy chứng nhận đã nộp ngoại tệ. </w:t>
      </w:r>
    </w:p>
    <w:p>
      <w:pPr>
        <w:jc w:val="both"/>
      </w:pPr>
      <w:r>
        <w:rPr>
          <w:b w:val="0"/>
          <w:i w:val="0"/>
        </w:rPr>
        <w:t xml:space="preserve">+ Trường hợp nộp ngoại tệ ở ngoài nước thì cơ quan đại diện của ta ở đó có trách nhiệm tính toán thu đúng theo chế độ qui định và cấp giấy chứng nhận đã nộp tiền kèm theo các chứng từ gốc để đối tượng đã nộp về báo cáo cơ quan chủ quản làm quyết toán gửi Bộ Tài chính. </w:t>
      </w:r>
    </w:p>
    <w:p>
      <w:pPr>
        <w:jc w:val="both"/>
      </w:pPr>
      <w:r>
        <w:rPr>
          <w:b w:val="0"/>
          <w:i w:val="0"/>
        </w:rPr>
        <w:t>Thông tư này có hiệu lực thi hành đối với các khoản thu nộp nêu trong thông tư phát sinh từ 01/01/1989, các qui định trước đây trái với thông tư này đều không có hiệu lực./.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br/>
            </w:r>
            <w:r>
              <w:rPr>
                <w:b w:val="0"/>
                <w:i w:val="0"/>
              </w:rPr>
              <w:t xml:space="preserve">- VP. HĐBT (VP6+VP7), </w:t>
            </w:r>
            <w:r>
              <w:rPr>
                <w:b w:val="0"/>
                <w:i w:val="0"/>
              </w:rPr>
              <w:br/>
            </w:r>
            <w:r>
              <w:rPr>
                <w:b w:val="0"/>
                <w:i w:val="0"/>
              </w:rPr>
              <w:t>- Các Bộ, TC, UBNN, các cơ quan</w:t>
            </w:r>
            <w:r>
              <w:rPr>
                <w:b w:val="0"/>
                <w:i w:val="0"/>
              </w:rPr>
              <w:br/>
            </w:r>
            <w:r>
              <w:rPr>
                <w:b w:val="0"/>
                <w:i w:val="0"/>
              </w:rPr>
              <w:t xml:space="preserve">   </w:t>
            </w:r>
            <w:r>
              <w:rPr>
                <w:b w:val="0"/>
                <w:i w:val="0"/>
              </w:rPr>
              <w:t>trực thuộc HĐBT,</w:t>
            </w:r>
            <w:r>
              <w:rPr>
                <w:b w:val="0"/>
                <w:i w:val="0"/>
              </w:rPr>
              <w:br/>
            </w:r>
            <w:r>
              <w:rPr>
                <w:b w:val="0"/>
                <w:i w:val="0"/>
              </w:rPr>
              <w:t>- Các cơ quan Đảng, đoàn thể TW.</w:t>
            </w:r>
            <w:r>
              <w:rPr>
                <w:b w:val="0"/>
                <w:i w:val="0"/>
              </w:rPr>
              <w:br/>
            </w:r>
            <w:r>
              <w:rPr>
                <w:b w:val="0"/>
                <w:i w:val="0"/>
              </w:rPr>
              <w:t xml:space="preserve">- Các UBND tỉnh, thành phố, </w:t>
            </w:r>
            <w:r>
              <w:rPr>
                <w:b w:val="0"/>
                <w:i w:val="0"/>
              </w:rPr>
              <w:br/>
            </w:r>
            <w:r>
              <w:rPr>
                <w:b w:val="0"/>
                <w:i w:val="0"/>
              </w:rPr>
              <w:t>DặckhutrựcthuộcTW</w:t>
            </w:r>
            <w:r>
              <w:rPr>
                <w:b w:val="0"/>
                <w:i w:val="0"/>
              </w:rPr>
              <w:br/>
            </w:r>
            <w:r>
              <w:rPr>
                <w:b w:val="0"/>
                <w:i w:val="0"/>
              </w:rPr>
              <w:t>- Lưu: VP Bộ, Vụ TCĐN.</w:t>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i w:val="0"/>
              </w:rPr>
              <w:t xml:space="preserve"> </w:t>
            </w:r>
            <w:r>
              <w:rPr>
                <w:b w:val="0"/>
                <w:i w:val="0"/>
              </w:rPr>
              <w:br/>
            </w:r>
            <w:r>
              <w:rPr>
                <w:b/>
                <w:i w:val="0"/>
              </w:rPr>
              <w:t>Ngô Thiết Thạch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