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52/2006/QĐ-BTC Ban hành Quy chế quản lý tài chính  </w:t>
        <w:br/>
        <w:t>của Tổng công ty Đầu tư và kinh doanh vốn Nhà nước</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52/2006/QĐ-BTC</w:t>
      </w:r>
      <w:r>
        <w:rPr>
          <w:b w:val="0"/>
          <w:i w:val="0"/>
        </w:rPr>
        <w:br/>
      </w:r>
      <w:r>
        <w:rPr>
          <w:b w:val="0"/>
          <w:i w:val="0"/>
        </w:rPr>
        <w:br/>
      </w:r>
      <w:r>
        <w:rPr>
          <w:b w:val="0"/>
          <w:i/>
        </w:rPr>
        <w:br/>
      </w:r>
      <w:r>
        <w:rPr>
          <w:b w:val="0"/>
          <w:i/>
        </w:rPr>
        <w:t>Ngày 25 tháng 9 năm 2006</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rPr>
        <w:t>Độc lập – Tự do – Hạnh phúc</w:t>
      </w:r>
      <w:r>
        <w:rPr>
          <w:b w:val="0"/>
          <w:i w:val="0"/>
        </w:rPr>
        <w:br/>
      </w:r>
    </w:p>
    <w:p>
      <w:r>
        <w:rPr>
          <w:b w:val="0"/>
          <w:i w:val="0"/>
        </w:rPr>
        <w:br/>
      </w:r>
      <w:r>
        <w:rPr>
          <w:b w:val="0"/>
          <w:i w:val="0"/>
        </w:rPr>
        <w:br/>
      </w:r>
      <w:r>
        <w:rPr>
          <w:b w:val="0"/>
          <w:i w:val="0"/>
        </w:rPr>
        <w:t>Số: 52/2006/QĐ-BTC</w:t>
      </w:r>
      <w:r>
        <w:rPr>
          <w:b w:val="0"/>
          <w:i w:val="0"/>
        </w:rPr>
        <w:br/>
      </w:r>
      <w:r>
        <w:rPr>
          <w:b w:val="0"/>
          <w:i w:val="0"/>
        </w:rPr>
        <w:br/>
      </w:r>
      <w:r>
        <w:rPr>
          <w:b w:val="0"/>
          <w:i/>
        </w:rPr>
        <w:br/>
      </w:r>
      <w:r>
        <w:rPr>
          <w:b w:val="0"/>
          <w:i/>
        </w:rPr>
        <w:t>Ngày 25 tháng 9 năm 2006</w:t>
      </w:r>
      <w:r>
        <w:rPr>
          <w:b w:val="0"/>
          <w:i/>
        </w:rPr>
        <w:br/>
      </w:r>
      <w:r>
        <w:rPr>
          <w:b w:val="0"/>
          <w:i w:val="0"/>
        </w:rPr>
        <w:br/>
      </w:r>
    </w:p>
    <w:p>
      <w:pPr>
        <w:jc w:val="center"/>
      </w:pPr>
      <w:r>
        <w:rPr>
          <w:b w:val="0"/>
          <w:i w:val="0"/>
        </w:rPr>
        <w:br/>
      </w:r>
      <w:r>
        <w:rPr>
          <w:b w:val="0"/>
          <w:i w:val="0"/>
        </w:rPr>
        <w:t>Số: 52/2006/QĐ-BTC</w:t>
      </w:r>
      <w:r>
        <w:rPr>
          <w:b w:val="0"/>
          <w:i w:val="0"/>
        </w:rPr>
        <w:br/>
      </w:r>
    </w:p>
    <w:p>
      <w:pPr>
        <w:jc w:val="center"/>
      </w:pPr>
      <w:r>
        <w:rPr>
          <w:b w:val="0"/>
          <w:i w:val="0"/>
        </w:rPr>
        <w:br/>
      </w:r>
      <w:r>
        <w:rPr>
          <w:b w:val="0"/>
          <w:i w:val="0"/>
        </w:rPr>
        <w:t>Ngày 25 tháng 9 năm 2006</w:t>
      </w:r>
      <w:r>
        <w:rPr>
          <w:b w:val="0"/>
          <w:i w:val="0"/>
        </w:rPr>
        <w:br/>
      </w:r>
    </w:p>
    <w:p>
      <w:r>
        <w:rPr>
          <w:b/>
          <w:i w:val="0"/>
        </w:rPr>
        <w:t>QUYẾT ĐỊNH</w:t>
      </w:r>
    </w:p>
    <w:p>
      <w:r>
        <w:rPr>
          <w:b/>
          <w:i w:val="0"/>
        </w:rPr>
        <w:t>Ban hành quy chế quản lý tài chính của</w:t>
      </w:r>
    </w:p>
    <w:p>
      <w:r>
        <w:rPr>
          <w:b/>
          <w:i w:val="0"/>
        </w:rPr>
        <w:t xml:space="preserve"> Tổng công ty Đầu tư và kinh doanh vốn Nhà nước</w:t>
      </w:r>
    </w:p>
    <w:p>
      <w:r>
        <w:rPr>
          <w:b/>
          <w:i w:val="0"/>
        </w:rPr>
        <w:t>_____________</w:t>
      </w:r>
    </w:p>
    <w:p>
      <w:r>
        <w:rPr>
          <w:b w:val="0"/>
          <w:i w:val="0"/>
        </w:rPr>
        <w:t xml:space="preserve"> </w:t>
      </w:r>
      <w:r>
        <w:rPr>
          <w:b/>
          <w:i w:val="0"/>
        </w:rPr>
        <w:t>BỘ TRƯỞNG BỘ TÀI CHÍNH</w:t>
      </w:r>
    </w:p>
    <w:p>
      <w:r>
        <w:rPr>
          <w:b w:val="0"/>
          <w:i/>
        </w:rPr>
        <w:t>Căn cứ Nghị định số 77/2003/NĐ-CP ngày 01/7/2003 của Chính phủ quy định chức năng, nhiệm vụ, quyền hạn và cơ cấu tổ chức của Bộ Tài chính;</w:t>
      </w:r>
    </w:p>
    <w:p>
      <w:r>
        <w:rPr>
          <w:b w:val="0"/>
          <w:i/>
        </w:rPr>
        <w:t>Căn cứ Nghị định số 199/2004/NĐ-CP ngày 3/12/2004 của Chính phủ ban hành Quy chế quản lý tài chính của công ty Nhà nước và quản lý vốn Nhà nước đầu tư vào các doanh nghiệp khác;</w:t>
      </w:r>
    </w:p>
    <w:p>
      <w:r>
        <w:rPr>
          <w:b w:val="0"/>
          <w:i/>
        </w:rPr>
        <w:t>Căn cứ Quyết định số 151/2005/QĐ-TTg ngày 20/6/2005 của Thủ tướng Chính phủ về việc thành lập Tổng công ty Đầu tư và kinh doanh vốn Nhà nước;</w:t>
      </w:r>
    </w:p>
    <w:p>
      <w:r>
        <w:rPr>
          <w:b w:val="0"/>
          <w:i/>
        </w:rPr>
        <w:t>Căn cứ Quyết định số 152/2005/QĐ-TTg ngày 20/6/2005 của Thủ tướng Chính phủ về việc phê duyệt điều lệ tổ chức và hoạt động của Tổng công ty Đầu tư và kinh doanh vốn Nhà nước;</w:t>
      </w:r>
    </w:p>
    <w:p>
      <w:r>
        <w:rPr>
          <w:b w:val="0"/>
          <w:i/>
        </w:rPr>
        <w:t>Theo đề nghị của Vụ trưởng Vụ Tài chính các ngân hàng và tổ chức tài chính.</w:t>
      </w:r>
    </w:p>
    <w:p>
      <w:r>
        <w:rPr>
          <w:b/>
          <w:i w:val="0"/>
        </w:rPr>
        <w:t>QUYẾT ĐỊNH</w:t>
      </w:r>
    </w:p>
    <w:p>
      <w:r>
        <w:rPr>
          <w:b/>
          <w:i w:val="0"/>
        </w:rPr>
        <w:t xml:space="preserve">Điều 1. </w:t>
      </w:r>
      <w:r>
        <w:rPr>
          <w:b w:val="0"/>
          <w:i w:val="0"/>
        </w:rPr>
        <w:t>Ban hành kèm theo Quyết định này "Quy chế quản lý tài chính của Tổng công ty Đầu tư và kinh doanh vốn Nhà nước".</w:t>
      </w:r>
    </w:p>
    <w:p>
      <w:r>
        <w:rPr>
          <w:b/>
          <w:i w:val="0"/>
        </w:rPr>
        <w:t xml:space="preserve">Điều 2. </w:t>
      </w:r>
      <w:r>
        <w:rPr>
          <w:b w:val="0"/>
          <w:i w:val="0"/>
        </w:rPr>
        <w:t>Quyết định này có hiệu lực thi hành sau 15 ngày, kể từ ngày đăng Công báo.</w:t>
      </w:r>
    </w:p>
    <w:p>
      <w:r>
        <w:rPr>
          <w:b/>
          <w:i w:val="0"/>
        </w:rPr>
        <w:t>Điều 3. C</w:t>
      </w:r>
      <w:r>
        <w:rPr>
          <w:b w:val="0"/>
          <w:i w:val="0"/>
        </w:rPr>
        <w:t>hủ tịch Hội đồng quản trị, Tổng Giám đốc Tổng công ty Đầu tư và kinh doanh vốn Nhà nước và Thủ trưởng các đơn vị có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rPr>
          <w:b w:val="0"/>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