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52/QĐ-TTg Phê duyệt Đề án chuyển Tổng công ty Xây dựng công nghiệp Việt Nam sang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52/QĐ-TTg</w:t>
        <w:br/>
        <w:t xml:space="preserve">     </w:t>
      </w:r>
      <w:r>
        <w:rPr>
          <w:b w:val="0"/>
          <w:i w:val="0"/>
        </w:rPr>
        <w:br/>
      </w:r>
      <w:r>
        <w:rPr>
          <w:b w:val="0"/>
          <w:i/>
        </w:rPr>
        <w:br/>
        <w:t xml:space="preserve">      Hà Nội, ngày 15 tháng 01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52/QĐ-TTg</w:t>
        <w:br/>
        <w:t xml:space="preserve">     </w:t>
      </w:r>
      <w:r>
        <w:rPr>
          <w:b w:val="0"/>
          <w:i w:val="0"/>
        </w:rPr>
        <w:br/>
      </w:r>
      <w:r>
        <w:rPr>
          <w:b w:val="0"/>
          <w:i/>
        </w:rPr>
        <w:br/>
        <w:t xml:space="preserve">      Hà Nội, ngày 15 tháng 01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52/QĐ-TTg</w:t>
        <w:br/>
        <w:t xml:space="preserve">     </w:t>
      </w:r>
      <w:r>
        <w:rPr>
          <w:b w:val="0"/>
          <w:i w:val="0"/>
        </w:rPr>
        <w:br/>
      </w:r>
      <w:r>
        <w:rPr>
          <w:b w:val="0"/>
          <w:i/>
        </w:rPr>
        <w:br/>
        <w:t xml:space="preserve">      Hà Nội, ngày 15 tháng 01 năm 2007</w:t>
        <w:br/>
        <w:t xml:space="preserve">     </w:t>
      </w:r>
      <w:r>
        <w:rPr>
          <w:b w:val="0"/>
          <w:i w:val="0"/>
        </w:rPr>
        <w:br/>
      </w:r>
    </w:p>
    <w:p>
      <w:pPr>
        <w:jc w:val="center"/>
      </w:pPr>
      <w:r>
        <w:rPr>
          <w:b w:val="0"/>
          <w:i w:val="0"/>
        </w:rPr>
        <w:br/>
        <w:t xml:space="preserve">      Số: 52/QĐ-TTg</w:t>
        <w:br/>
        <w:t xml:space="preserve">     </w:t>
      </w:r>
    </w:p>
    <w:p>
      <w:pPr>
        <w:jc w:val="center"/>
      </w:pPr>
      <w:r>
        <w:rPr>
          <w:b w:val="0"/>
          <w:i w:val="0"/>
        </w:rPr>
        <w:br/>
        <w:t xml:space="preserve">      Hà Nội, ngày 15 tháng 01 năm 2007</w:t>
        <w:br/>
        <w:t xml:space="preserve">     </w:t>
      </w:r>
    </w:p>
    <w:p>
      <w:r>
        <w:rPr>
          <w:b/>
          <w:i w:val="0"/>
        </w:rPr>
        <w:t>QUYẾT ĐỊNH</w:t>
      </w:r>
    </w:p>
    <w:p>
      <w:r>
        <w:rPr>
          <w:b/>
          <w:i w:val="0"/>
        </w:rPr>
        <w:t>Phê duyệt Đề án chuyển Tổng công ty Xây dựng công nghiệp Việt Nam</w:t>
      </w:r>
    </w:p>
    <w:p>
      <w:r>
        <w:rPr>
          <w:b/>
          <w:i w:val="0"/>
        </w:rPr>
        <w:t>sang hoạt động theo mô hình công ty mẹ - công ty con</w:t>
      </w:r>
    </w:p>
    <w:p>
      <w:r>
        <w:rPr>
          <w:b w:val="0"/>
          <w:i w:val="0"/>
        </w:rPr>
        <w:t>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trưởng Bộ Công nghiệp.</w:t>
      </w:r>
    </w:p>
    <w:p>
      <w:r>
        <w:rPr>
          <w:b/>
          <w:i w:val="0"/>
        </w:rPr>
        <w:t>QUYẾT ĐỊNH:</w:t>
      </w:r>
    </w:p>
    <w:p>
      <w:r>
        <w:rPr>
          <w:b/>
          <w:i w:val="0"/>
        </w:rPr>
        <w:t xml:space="preserve">Điều 1. </w:t>
      </w:r>
      <w:r>
        <w:rPr>
          <w:b w:val="0"/>
          <w:i w:val="0"/>
        </w:rPr>
        <w:t>Phê duyệt Đề án chuyển Tổng công ty Xây dựng công nghiệp Việt Nam sang hoạt động theo mô hình công ty mẹ - công ty con với nội dung sau:</w:t>
      </w:r>
    </w:p>
    <w:p>
      <w:r>
        <w:rPr>
          <w:b w:val="0"/>
          <w:i w:val="0"/>
        </w:rPr>
        <w:t>1. Công ty mẹ - Tổng công ty Xây dựng công nghiệp Việt Nam là công ty nhà nước, được hình thành trên cơ sở tổ chức lại Văn phòng, các đơn vị hạch toán phụ thuộc của Tổng công ty Xây dựng công nghiệp Việt Nam và Công ty Cơ khí hoá chất Hà Bắc.</w:t>
      </w:r>
    </w:p>
    <w:p>
      <w:r>
        <w:rPr>
          <w:b w:val="0"/>
          <w:i w:val="0"/>
        </w:rPr>
        <w:t>2. Các công ty con, bao gồm:</w:t>
      </w:r>
    </w:p>
    <w:p>
      <w:r>
        <w:rPr>
          <w:b w:val="0"/>
          <w:i w:val="0"/>
        </w:rPr>
        <w:t>a) Công ty trách nhiệm hữu hạn một thành viên do Công ty mẹ - Tổng công ty Xây dựng công nghiệp Việt Nam nắm giữ 100% vốn điều lệ:</w:t>
      </w:r>
    </w:p>
    <w:p>
      <w:r>
        <w:rPr>
          <w:b w:val="0"/>
          <w:i w:val="0"/>
        </w:rPr>
        <w:t>- Công ty trách nhiệm hữu hạn một thành viên Xây lắp hoá chất;</w:t>
      </w:r>
    </w:p>
    <w:p>
      <w:r>
        <w:rPr>
          <w:b w:val="0"/>
          <w:i w:val="0"/>
        </w:rPr>
        <w:t xml:space="preserve">- Công ty trách nhiệm hữu hạn một thành viên Xây lắp điện 2; </w:t>
      </w:r>
    </w:p>
    <w:p>
      <w:r>
        <w:rPr>
          <w:b w:val="0"/>
          <w:i w:val="0"/>
        </w:rPr>
        <w:t>- Công ty trách nhiệm hữu hạn một thành viên Xây lắp điện 4.</w:t>
      </w:r>
    </w:p>
    <w:p>
      <w:r>
        <w:rPr>
          <w:b w:val="0"/>
          <w:i w:val="0"/>
        </w:rPr>
        <w:t>b) Công ty cổ phần do Công ty mẹ nắm giữ trên 50% vốn điều lệ:</w:t>
      </w:r>
    </w:p>
    <w:p>
      <w:r>
        <w:rPr>
          <w:b w:val="0"/>
          <w:i w:val="0"/>
        </w:rPr>
        <w:t>- Công ty cổ phần Bê tông ly tâm An Giang;</w:t>
      </w:r>
    </w:p>
    <w:p>
      <w:r>
        <w:rPr>
          <w:b w:val="0"/>
          <w:i w:val="0"/>
        </w:rPr>
        <w:t>- Công ty cổ phần Bê tông ly tâm Thủ Đức;</w:t>
      </w:r>
    </w:p>
    <w:p>
      <w:r>
        <w:rPr>
          <w:b w:val="0"/>
          <w:i w:val="0"/>
        </w:rPr>
        <w:t>- Công ty cổ phần Kết cấu thép xây dựng;</w:t>
      </w:r>
    </w:p>
    <w:p>
      <w:r>
        <w:rPr>
          <w:b w:val="0"/>
          <w:i w:val="0"/>
        </w:rPr>
        <w:t>- Công ty cổ phần Đầu tư xây dựng công nghiệp;</w:t>
      </w:r>
    </w:p>
    <w:p>
      <w:r>
        <w:rPr>
          <w:b w:val="0"/>
          <w:i w:val="0"/>
        </w:rPr>
        <w:t>- Công ty cổ phần Xây lắp và Sản xuất công nghiệp;</w:t>
      </w:r>
    </w:p>
    <w:p>
      <w:r>
        <w:rPr>
          <w:b w:val="0"/>
          <w:i w:val="0"/>
        </w:rPr>
        <w:t>- Công ty cổ phần Đầu tư xây dựng số 5;</w:t>
      </w:r>
    </w:p>
    <w:p>
      <w:r>
        <w:rPr>
          <w:b w:val="0"/>
          <w:i w:val="0"/>
        </w:rPr>
        <w:t>- Công ty cổ phần Cơ khí xây lắp hoá chất;</w:t>
      </w:r>
    </w:p>
    <w:p>
      <w:r>
        <w:rPr>
          <w:b w:val="0"/>
          <w:i w:val="0"/>
        </w:rPr>
        <w:t>3. Các công ty liên kết do Công ty mẹ nắm giữ dưới 50% vốn điều lệ:</w:t>
      </w:r>
    </w:p>
    <w:p>
      <w:r>
        <w:rPr>
          <w:b w:val="0"/>
          <w:i w:val="0"/>
        </w:rPr>
        <w:t>- Công ty cổ phần Xây dựng công nghiệp;</w:t>
      </w:r>
    </w:p>
    <w:p>
      <w:r>
        <w:rPr>
          <w:b w:val="0"/>
          <w:i w:val="0"/>
        </w:rPr>
        <w:t>- Công ty cổ phần Tư vấn thiết kế công nghiệp;</w:t>
      </w:r>
    </w:p>
    <w:p>
      <w:r>
        <w:rPr>
          <w:b w:val="0"/>
          <w:i w:val="0"/>
        </w:rPr>
        <w:t>- Công ty cổ phần Đầu tư xây dựng miền Trung;</w:t>
      </w:r>
    </w:p>
    <w:p>
      <w:r>
        <w:rPr>
          <w:b w:val="0"/>
          <w:i w:val="0"/>
        </w:rPr>
        <w:t>- Công ty cổ phần Lắp máy;</w:t>
      </w:r>
    </w:p>
    <w:p>
      <w:r>
        <w:rPr>
          <w:b w:val="0"/>
          <w:i w:val="0"/>
        </w:rPr>
        <w:t xml:space="preserve">- Công ty cổ phần Xây lắp điện 1; </w:t>
      </w:r>
    </w:p>
    <w:p>
      <w:r>
        <w:rPr>
          <w:b w:val="0"/>
          <w:i w:val="0"/>
        </w:rPr>
        <w:t>- Công ty cổ phần Đầu tư và Sản xuất công nghiệp;</w:t>
      </w:r>
    </w:p>
    <w:p>
      <w:r>
        <w:rPr>
          <w:b w:val="0"/>
          <w:i w:val="0"/>
        </w:rPr>
        <w:t>- Công ty cổ phần Lắp máy và Xây dựng miền Nam;</w:t>
      </w:r>
    </w:p>
    <w:p>
      <w:r>
        <w:rPr>
          <w:b w:val="0"/>
          <w:i w:val="0"/>
        </w:rPr>
        <w:t>- Công ty cổ phần Cơ khí Hồng Nam.</w:t>
      </w:r>
    </w:p>
    <w:p>
      <w:r>
        <w:rPr>
          <w:b w:val="0"/>
          <w:i w:val="0"/>
        </w:rPr>
        <w:t>4. Tổng công ty Xây dựng công nghiệp Việt Nam hoạt động theo mô hình công ty mẹ - công ty con, thực hiện hạch toán kinh doanh và đầu tư vốn vào các công ty con, công ty liên kết theo Điều lệ tổ chức, hoạt động và Quy chế quản lý tài chính của Công ty mẹ.</w:t>
      </w:r>
    </w:p>
    <w:p>
      <w:r>
        <w:rPr>
          <w:b w:val="0"/>
          <w:i w:val="0"/>
        </w:rPr>
        <w:t>5. Tổ chức quản lý và điều hành của Công ty mẹ - Tổng công ty Xây dựng công nghiệp Việt Nam bao gồm: Hội đồng quản trị, Ban kiểm soát, Tổng giám đốc, các Phó Tổng giám đốc, Kế toán trưởng và bộ máy giúp việc.</w:t>
      </w:r>
    </w:p>
    <w:p>
      <w:r>
        <w:rPr>
          <w:b/>
          <w:i w:val="0"/>
        </w:rPr>
        <w:t xml:space="preserve">Điều 2. </w:t>
      </w:r>
      <w:r>
        <w:rPr>
          <w:b w:val="0"/>
          <w:i w:val="0"/>
        </w:rPr>
        <w:t>Công ty mẹ - Tổng công ty Xây dựng công nghiệp Việt Nam và các công ty con do Công ty mẹ - Tổng công ty Xây dựng công nghiệp Việt Nam nắm giữ 100% vốn điều lệ thực hiện cổ phần hoá theo lộ trình sau:</w:t>
      </w:r>
    </w:p>
    <w:p>
      <w:r>
        <w:rPr>
          <w:b w:val="0"/>
          <w:i w:val="0"/>
        </w:rPr>
        <w:t>a) Năm 2007: chuyển các Công ty trách nhiệm hữu hạn một thành viên: Xây lắp hoá chất, Xây lắp điện 2, Xây lắp điện 4 thành công ty cổ phần.</w:t>
      </w:r>
    </w:p>
    <w:p>
      <w:r>
        <w:rPr>
          <w:b w:val="0"/>
          <w:i w:val="0"/>
        </w:rPr>
        <w:t>b) Năm 2008: chuyển Công ty mẹ - Tổng công ty Xây dựng công nghiệp Việt Nam thành công ty cổ phần.</w:t>
      </w:r>
    </w:p>
    <w:p>
      <w:r>
        <w:rPr>
          <w:b/>
          <w:i w:val="0"/>
        </w:rPr>
        <w:t xml:space="preserve">Điều 3. </w:t>
      </w:r>
      <w:r>
        <w:rPr>
          <w:b w:val="0"/>
          <w:i w:val="0"/>
        </w:rPr>
        <w:t>Phân công nhiệm vụ:</w:t>
      </w:r>
    </w:p>
    <w:p>
      <w:r>
        <w:rPr>
          <w:b w:val="0"/>
          <w:i w:val="0"/>
        </w:rPr>
        <w:t>1. Bộ Công nghiệp:</w:t>
      </w:r>
    </w:p>
    <w:p>
      <w:r>
        <w:rPr>
          <w:b w:val="0"/>
          <w:i w:val="0"/>
        </w:rPr>
        <w:t>- Chỉ đạo triển khai thực hiện Đề án; quyết định thành lập Công ty mẹ - Tổng công ty Xây dựng công nghiệp Việt Nam như quy định tại Điều 1 Quyết định này theo quy định hiện hành;</w:t>
      </w:r>
    </w:p>
    <w:p>
      <w:r>
        <w:rPr>
          <w:b w:val="0"/>
          <w:i w:val="0"/>
        </w:rPr>
        <w:t xml:space="preserve">- Phê duyệt Điều lệ tổ chức và hoạt động của Công ty mẹ - Tổng công ty Xây dựng công nghiệp Việt Nam; </w:t>
      </w:r>
    </w:p>
    <w:p>
      <w:r>
        <w:rPr>
          <w:b w:val="0"/>
          <w:i w:val="0"/>
        </w:rPr>
        <w:t>- Chỉ đạo Công ty mẹ - Tổng công ty Xây dựng công nghiệp Việt Nam và các công ty con do Công ty mẹ - Tổng công ty Xây dựng công nghiệp Việt Nam nắm giữ 100% vốn điều lệ thực hiện cổ phần hoá theo lộ trình nêu tại Điều 2 của Quyết định này.</w:t>
      </w:r>
    </w:p>
    <w:p>
      <w:r>
        <w:rPr>
          <w:b w:val="0"/>
          <w:i w:val="0"/>
        </w:rPr>
        <w:t>2. Hội đồng quản trị Công ty mẹ - Tổng công ty Xây dựng công nghiệp Việt Nam quyết định ban hành Quy chế quản lý tài chính của Công ty mẹ - Tổng công ty Xây dựng công nghiệp Việt Nam sau khi có ý kiến của Bộ Tài chính.</w:t>
      </w:r>
    </w:p>
    <w:p>
      <w:r>
        <w:rPr>
          <w:b/>
          <w:i w:val="0"/>
        </w:rPr>
        <w:t xml:space="preserve">Điều 4. </w:t>
      </w:r>
      <w:r>
        <w:rPr>
          <w:b w:val="0"/>
          <w:i w:val="0"/>
        </w:rPr>
        <w:t>Quyết định này có hiệu lực thi hành kể từ ngày ký.</w:t>
      </w:r>
    </w:p>
    <w:p>
      <w:r>
        <w:rPr>
          <w:b w:val="0"/>
          <w:i w:val="0"/>
        </w:rPr>
        <w:t>Bộ trưởng các Bộ: Công nghiệp, Tài chính, Kế hoạch và Đầu tư, Nội vụ, Lao động - Thương binh và Xã hội, Thống đốc Ngân hàng Nhà nước Việt Nam, Hội đồng quản trị Tổng công ty Xây dựng công nghiệp Việt Nam và các cơ quan có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