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53 /2007/QĐ-UBND Về việc ban hành Bộ đơn giá duy trì hệ thống </w:t>
        <w:br/>
        <w:t>chiếu sáng công cộng  trên địa bàn tỉnh Đắk Lắk  (DA CO 01 BAN DUOC CAP NHAT ROI)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53 /2007/QĐ-UBND</w:t>
      </w:r>
      <w:r>
        <w:rPr>
          <w:b w:val="0"/>
          <w:i w:val="0"/>
        </w:rPr>
        <w:br/>
      </w:r>
      <w:r>
        <w:rPr>
          <w:b w:val="0"/>
          <w:i w:val="0"/>
        </w:rPr>
        <w:br/>
      </w:r>
      <w:r>
        <w:rPr>
          <w:b w:val="0"/>
          <w:i/>
        </w:rPr>
        <w:br/>
      </w:r>
      <w:r>
        <w:rPr>
          <w:b w:val="0"/>
          <w:i/>
        </w:rPr>
        <w:t>Đắk Lắk, ngày 14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53 /2007/QĐ-UBND</w:t>
      </w:r>
      <w:r>
        <w:rPr>
          <w:b w:val="0"/>
          <w:i w:val="0"/>
        </w:rPr>
        <w:br/>
      </w:r>
      <w:r>
        <w:rPr>
          <w:b w:val="0"/>
          <w:i w:val="0"/>
        </w:rPr>
        <w:br/>
      </w:r>
      <w:r>
        <w:rPr>
          <w:b w:val="0"/>
          <w:i/>
        </w:rPr>
        <w:br/>
      </w:r>
      <w:r>
        <w:rPr>
          <w:b w:val="0"/>
          <w:i/>
        </w:rPr>
        <w:t>Đắk Lắk, ngày 14 tháng 12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ĐẮK LẮK</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ĐẮK LẮK</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53 /2007/QĐ-UBND</w:t>
      </w:r>
      <w:r>
        <w:rPr>
          <w:b w:val="0"/>
          <w:i w:val="0"/>
        </w:rPr>
        <w:br/>
      </w:r>
      <w:r>
        <w:rPr>
          <w:b w:val="0"/>
          <w:i w:val="0"/>
        </w:rPr>
        <w:br/>
      </w:r>
      <w:r>
        <w:rPr>
          <w:b w:val="0"/>
          <w:i/>
        </w:rPr>
        <w:br/>
      </w:r>
      <w:r>
        <w:rPr>
          <w:b w:val="0"/>
          <w:i/>
        </w:rPr>
        <w:t>Đắk Lắk, ngày 14 tháng 12 năm 2007</w:t>
      </w:r>
      <w:r>
        <w:rPr>
          <w:b w:val="0"/>
          <w:i/>
        </w:rPr>
        <w:br/>
      </w:r>
      <w:r>
        <w:rPr>
          <w:b w:val="0"/>
          <w:i w:val="0"/>
        </w:rPr>
        <w:br/>
      </w:r>
    </w:p>
    <w:p>
      <w:pPr>
        <w:jc w:val="center"/>
      </w:pPr>
      <w:r>
        <w:rPr>
          <w:b w:val="0"/>
          <w:i w:val="0"/>
        </w:rPr>
        <w:br/>
      </w:r>
      <w:r>
        <w:rPr>
          <w:b w:val="0"/>
          <w:i w:val="0"/>
        </w:rPr>
        <w:t>Số: 53 /2007/QĐ-UBND</w:t>
      </w:r>
      <w:r>
        <w:rPr>
          <w:b w:val="0"/>
          <w:i w:val="0"/>
        </w:rPr>
        <w:br/>
      </w:r>
    </w:p>
    <w:p>
      <w:pPr>
        <w:jc w:val="center"/>
      </w:pPr>
      <w:r>
        <w:rPr>
          <w:b w:val="0"/>
          <w:i w:val="0"/>
        </w:rPr>
        <w:br/>
      </w:r>
      <w:r>
        <w:rPr>
          <w:b w:val="0"/>
          <w:i w:val="0"/>
        </w:rPr>
        <w:t>Đắk Lắk, ngày 14 tháng 12 năm 2007</w:t>
      </w:r>
      <w:r>
        <w:rPr>
          <w:b w:val="0"/>
          <w:i w:val="0"/>
        </w:rPr>
        <w:br/>
      </w:r>
    </w:p>
    <w:p>
      <w:pPr>
        <w:jc w:val="center"/>
      </w:pPr>
      <w:r>
        <w:rPr>
          <w:b w:val="0"/>
          <w:i w:val="0"/>
        </w:rPr>
        <w:t>QUYẾT ĐỊNH</w:t>
      </w:r>
    </w:p>
    <w:p>
      <w:r>
        <w:rPr>
          <w:b/>
          <w:i w:val="0"/>
        </w:rPr>
        <w:t xml:space="preserve">Về việc ban hành Bộ đơn giá duy trì hệ thống </w:t>
      </w:r>
    </w:p>
    <w:p>
      <w:r>
        <w:rPr>
          <w:b/>
          <w:i w:val="0"/>
        </w:rPr>
        <w:t>chiếu sáng công cộng  trên địa bàn tỉnh Đắk Lắk</w:t>
      </w:r>
    </w:p>
    <w:p>
      <w:r>
        <w:rPr>
          <w:b/>
          <w:i w:val="0"/>
        </w:rPr>
        <w:t xml:space="preserve">ỦY BAN NHÂN DÂN TỈNH  </w:t>
      </w:r>
    </w:p>
    <w:p>
      <w:r>
        <w:rPr>
          <w:b w:val="0"/>
          <w:i w:val="0"/>
        </w:rPr>
        <w:t>Căn cứ Luật Tổ chức HĐND và UBND  ngày 26/11/2003;</w:t>
      </w:r>
    </w:p>
    <w:p>
      <w:r>
        <w:rPr>
          <w:b w:val="0"/>
          <w:i w:val="0"/>
        </w:rPr>
        <w:t>Căn cứ Thông tư số 17/2005/TT-BXD ngày 01/11/2005 của Bộ Xây dựng hướng dẫn phương pháp lập và quản lý giá dự toán dịch vụ công ích đô thị;</w:t>
      </w:r>
    </w:p>
    <w:p>
      <w:r>
        <w:rPr>
          <w:b w:val="0"/>
          <w:i w:val="0"/>
        </w:rPr>
        <w:t>Căn cứ Thông tư số 07/2006/TT-BXD ngày 10/11/2006 của Bộ Xây dựng hướng dẫn điều chỉnh dự toán xây dựng công trình;</w:t>
      </w:r>
    </w:p>
    <w:p>
      <w:r>
        <w:rPr>
          <w:b w:val="0"/>
          <w:i w:val="0"/>
        </w:rPr>
        <w:t>Căn cứ Thông tư số 11/2005/TTLT – BNV – BLĐTBXH – BTC – UBDT ngày 05/01/2005 của Bộ Nội vụ - Bộ Lao động - Thương binh và Xã hội - Bộ Tài chính - Ủy ban Dân tộc hướng dẫn thực hiện chế độ phụ cấp khu vực;</w:t>
      </w:r>
    </w:p>
    <w:p>
      <w:r>
        <w:rPr>
          <w:b w:val="0"/>
          <w:i w:val="0"/>
        </w:rPr>
        <w:t>Căn cứ Thông tư số 04/2005/TT-BLĐTBXH ngày 05/01/2005 của Bộ Lao động– Thương Binh và xã hội hướng dẫn thực hiện chế độ phụ cấp độc hại, nguy hiểm trong các Công ty nhà nước theo Nghị định số 205/2004/NĐ-CP ngày 14/12/2004 của Chính phủ;</w:t>
      </w:r>
    </w:p>
    <w:p>
      <w:r>
        <w:rPr>
          <w:b w:val="0"/>
          <w:i w:val="0"/>
        </w:rPr>
        <w:t>Căn cứ Quyết định số 38/2005/QĐ-BXD ngày 02/11/2005 của Bộ trưởng Bộ Xây dựng về việc ban hành Định mức dự toán duy trì hệ thống chiếu sáng công cộng;</w:t>
      </w:r>
    </w:p>
    <w:p>
      <w:r>
        <w:rPr>
          <w:b w:val="0"/>
          <w:i w:val="0"/>
        </w:rPr>
        <w:t>Theo đề nghị của Sở Xây dựng tại Tờ trình số 1049/TTr - SXD ngày 14/11/2007 và Công văn số 1119/SXD-KT ngày 30/11/2007,</w:t>
      </w:r>
    </w:p>
    <w:p>
      <w:r>
        <w:rPr>
          <w:b/>
          <w:i w:val="0"/>
        </w:rPr>
        <w:t>QUYẾT ĐỊNH:</w:t>
      </w:r>
    </w:p>
    <w:p>
      <w:r>
        <w:rPr>
          <w:b/>
          <w:i w:val="0"/>
        </w:rPr>
        <w:t>Điều 1.</w:t>
      </w:r>
    </w:p>
    <w:p>
      <w:r>
        <w:rPr>
          <w:b w:val="0"/>
          <w:i w:val="0"/>
        </w:rPr>
        <w:t>1. Ban hành kèm theo Quyết định này bộ đơn giá duy trì hệ thống chiếu sáng công cộng khu vực trên địa bàn tỉnh Đắk Lắk.</w:t>
      </w:r>
    </w:p>
    <w:p>
      <w:r>
        <w:rPr>
          <w:b w:val="0"/>
          <w:i w:val="0"/>
        </w:rPr>
        <w:t xml:space="preserve">2. Quy định các hệ số để tính phụ cấp khu vực đối với đơn giá nhân công trong bộ đơn giá duy trì hệ thống chiếu sáng công cộng như sau: </w:t>
      </w:r>
    </w:p>
    <w:p>
      <w:r>
        <w:rPr>
          <w:b w:val="0"/>
          <w:i w:val="0"/>
        </w:rPr>
        <w:t xml:space="preserve">- Nơi có phụ cấp khu vực là 0,1 thì đơn giá nhân công được nhân với hệ số: 1,0356; </w:t>
      </w:r>
    </w:p>
    <w:p>
      <w:r>
        <w:rPr>
          <w:b w:val="0"/>
          <w:i w:val="0"/>
        </w:rPr>
        <w:t xml:space="preserve">- Nơi có phụ cấp khu vực là 0,2 thì đơn giá nhân công được nhân với hệ số: 1,0687; </w:t>
      </w:r>
    </w:p>
    <w:p>
      <w:r>
        <w:rPr>
          <w:b w:val="0"/>
          <w:i w:val="0"/>
        </w:rPr>
        <w:t xml:space="preserve">- Nơi có phụ cấp khu vực là 0,3 thì đơn giá nhân công được nhân với hệ số: 1,0997; </w:t>
      </w:r>
    </w:p>
    <w:p>
      <w:r>
        <w:rPr>
          <w:b w:val="0"/>
          <w:i w:val="0"/>
        </w:rPr>
        <w:t xml:space="preserve">- Nơi có phụ cấp khu vực là 0,4 thì đơn giá nhân công được nhân với hệ số: 1,1286; </w:t>
      </w:r>
    </w:p>
    <w:p>
      <w:r>
        <w:rPr>
          <w:b w:val="0"/>
          <w:i w:val="0"/>
        </w:rPr>
        <w:t xml:space="preserve">- Nơi có phụ cấp khu vực là 0,5 thì đơn giá nhân công được nhân với hệ số: 1,1558; </w:t>
      </w:r>
    </w:p>
    <w:p>
      <w:r>
        <w:rPr>
          <w:b w:val="0"/>
          <w:i w:val="0"/>
        </w:rPr>
        <w:t xml:space="preserve">- Nơi có phụ cấp khu vực là 0,6 thì đơn giá nhân công được nhân với hệ số: 1,1813; </w:t>
      </w:r>
    </w:p>
    <w:p>
      <w:r>
        <w:rPr>
          <w:b w:val="0"/>
          <w:i w:val="0"/>
        </w:rPr>
        <w:t>- Nơi có phụ cấp khu vực là 0,7 thì đơn giá nhân công được nhân với hệ số: 1,2053;</w:t>
      </w:r>
    </w:p>
    <w:p>
      <w:r>
        <w:rPr>
          <w:b w:val="0"/>
          <w:i w:val="0"/>
        </w:rPr>
        <w:t xml:space="preserve">3. Quy định các hệ số để tính phụ cấp độc hại, nguy hiểm đối với đơn giá nhân công trong bộ đơn giá duy trì hệ thống chiếu sáng công cộng như sau: </w:t>
      </w:r>
    </w:p>
    <w:p>
      <w:r>
        <w:rPr>
          <w:b w:val="0"/>
          <w:i w:val="0"/>
        </w:rPr>
        <w:t xml:space="preserve">- Nơi có phụ cấp cấp độc hại, nguy hiểm là 0,1 thì đơn giá nhân công được nhân với hệ số: 1,0356; </w:t>
      </w:r>
    </w:p>
    <w:p>
      <w:r>
        <w:rPr>
          <w:b w:val="0"/>
          <w:i w:val="0"/>
        </w:rPr>
        <w:t>- Nơi có phụ cấp cấp độc hại, nguy hiểm là 0,2 thì đơn giá nhân công được nhân với hệ số: 1,0687.</w:t>
      </w:r>
    </w:p>
    <w:p>
      <w:r>
        <w:rPr>
          <w:b/>
          <w:i w:val="0"/>
        </w:rPr>
        <w:t>Điều 2.</w:t>
      </w:r>
    </w:p>
    <w:p>
      <w:r>
        <w:rPr>
          <w:b w:val="0"/>
          <w:i w:val="0"/>
        </w:rPr>
        <w:t>Bộ đơn giá duy trì hệ thống chiếu sáng công cộng trên địa bàn tỉnh Đắk Lắk là căn cứ để xác định giá dự toán và thanh toán dịch vụ duy trì hệ thống chiếu sáng công cộng và là căn cứ để tổ chức đấu thầu lựa chọn đơn vị thực hiện các dịch vụ công ích đô thị.</w:t>
      </w:r>
    </w:p>
    <w:p>
      <w:r>
        <w:rPr>
          <w:b/>
          <w:i w:val="0"/>
        </w:rPr>
        <w:t>Điều 3.</w:t>
      </w:r>
    </w:p>
    <w:p>
      <w:r>
        <w:rPr>
          <w:b w:val="0"/>
          <w:i w:val="0"/>
        </w:rPr>
        <w:t>Đối với khối lượng dịch vụ duy trì hệ thống chiếu sáng công cộng thực hiện trước ngày Quyết định này có hiệu lực nhưng chưa được thanh quyết toán (kể cả khối lượng đã quyết toán xong, nhưng chưa được hưởng mức lương tối thiểu mới theo Nghị định số 94/2006/NĐ-CP ngày 07/9/2006 của Chính phủ về việc điều chỉnh mức tiền lương tối thiểu chung kể từ ngày 01/10/2006); Chủ đầu tư, đơn vị tư vấn và đơn vị thực hiện dịch vụ công ích đô thị phải kiểm kê khối lượng, căn cứ vào Quyết định số 3732/QĐ-UB ngày 24/11/2003 của UBND tỉnh về việc ban hành bộ đơn giá chuyên ngành Lắp đặt và bảo trì hệ thống chiếu sáng đô thị khu vực thành phố Buôn Ma Thuột, để làm cơ sở thanh, quyết toán và được điều chỉnh như sau: - Chi phí nhân công được nhân với hệ số : 1,67 x 1,285; - Chi phí máy thi công được nhân với hệ số: 1,4 x 1,055 x 1,05.</w:t>
      </w:r>
    </w:p>
    <w:p>
      <w:r>
        <w:rPr>
          <w:b/>
          <w:i w:val="0"/>
        </w:rPr>
        <w:t xml:space="preserve">Điều 4. </w:t>
      </w:r>
      <w:r>
        <w:rPr>
          <w:b w:val="0"/>
          <w:i w:val="0"/>
        </w:rPr>
        <w:t>Giao cho Sở Xây dựng chủ trì và phối hợp với các ngành chức năng có liên quan tổ chức việc kiểm tra và quản lý thống nhất bộ đơn giá duy trì hệ thống chiếu sáng công cộng trên địa bàn tỉnh.</w:t>
      </w:r>
    </w:p>
    <w:p>
      <w:r>
        <w:rPr>
          <w:b/>
          <w:i w:val="0"/>
        </w:rPr>
        <w:t xml:space="preserve">Điều 5. </w:t>
      </w:r>
      <w:r>
        <w:rPr>
          <w:b w:val="0"/>
          <w:i w:val="0"/>
        </w:rPr>
        <w:t>Quyết định này có hiệu lực sau 10 ngày, kể từ ngày ký ban hành;</w:t>
      </w:r>
    </w:p>
    <w:p>
      <w:r>
        <w:rPr>
          <w:b w:val="0"/>
          <w:i w:val="0"/>
        </w:rPr>
        <w:t xml:space="preserve">Quyết định này thay thế Quyết định số 3732/QĐ-UB ngày 24/11/2003 của UBND tỉnh về việc ban hành Bộ đơn giá chuyên ngành lắp đặt và bảo trì hệ thống chiếu sáng đô thị khu vực thành phố Buôn Ma Thuột, tỉnh Đắk Lắk; </w:t>
      </w:r>
    </w:p>
    <w:p>
      <w:r>
        <w:rPr>
          <w:b w:val="0"/>
          <w:i w:val="0"/>
        </w:rPr>
        <w:t>Chánh Văn phòng UBND tỉnh, Giám đốc các Sở, Ngành; Chủ tịch UBND các huyện, thành phố và các xã, phường, thị trấn; Thủ trưởng các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val="0"/>
                <w:i w:val="0"/>
              </w:rPr>
              <w:t xml:space="preserve">  </w:t>
            </w:r>
            <w:r>
              <w:rPr>
                <w:b/>
                <w:i w:val="0"/>
              </w:rPr>
              <w:t>CHỦ TỊCH</w:t>
            </w:r>
            <w:r>
              <w:rPr>
                <w:b w:val="0"/>
                <w:i w:val="0"/>
              </w:rPr>
              <w:br/>
            </w:r>
            <w:r>
              <w:rPr>
                <w:b w:val="0"/>
                <w:i w:val="0"/>
              </w:rPr>
              <w:t>(Đã ký)</w:t>
            </w:r>
            <w:r>
              <w:rPr>
                <w:b w:val="0"/>
                <w:i w:val="0"/>
              </w:rPr>
              <w:br/>
            </w:r>
            <w:r>
              <w:rPr>
                <w:b w:val="0"/>
                <w:i w:val="0"/>
              </w:rPr>
              <w:t xml:space="preserve">    </w:t>
            </w:r>
            <w:r>
              <w:rPr>
                <w:b/>
                <w:i w:val="0"/>
              </w:rPr>
              <w:t>Lữ Ngọc Cư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