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54/2016/QĐ-UBND Về Quy định phân cấp nguồn thu, nhiệm vụ chi cho từng cấp ngân sách ở thành phố và Tỷ lệ phần trăm (%) phân chia các khoản thu giữa ngân sách các cấp ở thành phố thời kỳ ổn định ngân sách 2017 - 2020.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54/2016/QĐ-UBND</w:t>
      </w:r>
      <w:r>
        <w:rPr>
          <w:b w:val="0"/>
          <w:i w:val="0"/>
        </w:rPr>
        <w:br/>
      </w:r>
      <w:r>
        <w:rPr>
          <w:b w:val="0"/>
          <w:i w:val="0"/>
        </w:rPr>
        <w:br/>
      </w:r>
      <w:r>
        <w:rPr>
          <w:b w:val="0"/>
          <w:i/>
        </w:rPr>
        <w:br/>
      </w:r>
      <w:r>
        <w:rPr>
          <w:b w:val="0"/>
          <w:i/>
        </w:rPr>
        <w:t>Thành phố Hồ Chí Minh, ngày 10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54/2016/QĐ-UBND</w:t>
      </w:r>
      <w:r>
        <w:rPr>
          <w:b w:val="0"/>
          <w:i w:val="0"/>
        </w:rPr>
        <w:br/>
      </w:r>
      <w:r>
        <w:rPr>
          <w:b w:val="0"/>
          <w:i w:val="0"/>
        </w:rPr>
        <w:br/>
      </w:r>
      <w:r>
        <w:rPr>
          <w:b w:val="0"/>
          <w:i/>
        </w:rPr>
        <w:br/>
      </w:r>
      <w:r>
        <w:rPr>
          <w:b w:val="0"/>
          <w:i/>
        </w:rPr>
        <w:t>Thành phố Hồ Chí Minh, ngày 10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54/2016/QĐ-UBND</w:t>
      </w:r>
      <w:r>
        <w:rPr>
          <w:b w:val="0"/>
          <w:i w:val="0"/>
        </w:rPr>
        <w:br/>
      </w:r>
      <w:r>
        <w:rPr>
          <w:b w:val="0"/>
          <w:i w:val="0"/>
        </w:rPr>
        <w:br/>
      </w:r>
      <w:r>
        <w:rPr>
          <w:b w:val="0"/>
          <w:i/>
        </w:rPr>
        <w:br/>
      </w:r>
      <w:r>
        <w:rPr>
          <w:b w:val="0"/>
          <w:i/>
        </w:rPr>
        <w:t>Thành phố Hồ Chí Minh, ngày 10 tháng 12 năm 2016</w:t>
      </w:r>
      <w:r>
        <w:rPr>
          <w:b w:val="0"/>
          <w:i/>
        </w:rPr>
        <w:br/>
      </w:r>
      <w:r>
        <w:rPr>
          <w:b w:val="0"/>
          <w:i w:val="0"/>
        </w:rPr>
        <w:br/>
      </w:r>
    </w:p>
    <w:p>
      <w:pPr>
        <w:jc w:val="center"/>
      </w:pPr>
      <w:r>
        <w:rPr>
          <w:b w:val="0"/>
          <w:i w:val="0"/>
        </w:rPr>
        <w:br/>
      </w:r>
      <w:r>
        <w:rPr>
          <w:b w:val="0"/>
          <w:i w:val="0"/>
        </w:rPr>
        <w:t>Số: 54/2016/QĐ-UBND</w:t>
      </w:r>
      <w:r>
        <w:rPr>
          <w:b w:val="0"/>
          <w:i w:val="0"/>
        </w:rPr>
        <w:br/>
      </w:r>
    </w:p>
    <w:p>
      <w:pPr>
        <w:jc w:val="center"/>
      </w:pPr>
      <w:r>
        <w:rPr>
          <w:b w:val="0"/>
          <w:i w:val="0"/>
        </w:rPr>
        <w:br/>
      </w:r>
      <w:r>
        <w:rPr>
          <w:b w:val="0"/>
          <w:i w:val="0"/>
        </w:rPr>
        <w:t>Thành phố Hồ Chí Minh, ngày 10 tháng 12 năm 2016</w:t>
      </w:r>
      <w:r>
        <w:rPr>
          <w:b w:val="0"/>
          <w:i w:val="0"/>
        </w:rPr>
        <w:br/>
      </w:r>
    </w:p>
    <w:p>
      <w:r>
        <w:rPr>
          <w:b/>
          <w:i w:val="0"/>
        </w:rPr>
        <w:t>QUYẾT ĐỊNH</w:t>
      </w:r>
    </w:p>
    <w:p>
      <w:r>
        <w:rPr>
          <w:b w:val="0"/>
          <w:i w:val="0"/>
        </w:rPr>
        <w:t>VỀ QUY ĐỊNH PHÂN CẤP NGUỒN THU, NHIỆM VỤ CHI CHO TỪNG CẤP NGÂN SÁCH Ở THÀNH PHỐ VÀ TỶ LỆ PHẦN TRĂM (%) PHÂN CHIA CÁC KHOẢN THU GIỮA NGÂN SÁCH CÁC CẤP Ở THÀNH PHỐ THỜI KỲ ỔN ĐỊNH NGÂN SÁCH 2017-2020</w:t>
      </w:r>
    </w:p>
    <w:p>
      <w:r>
        <w:rPr>
          <w:b/>
          <w:i w:val="0"/>
        </w:rPr>
        <w:t>ỦY BAN NHÂN DÂN THÀNH PHỐ HỒ CHÍ MINH</w:t>
      </w:r>
    </w:p>
    <w:p>
      <w:r>
        <w:rPr>
          <w:b w:val="0"/>
          <w:i/>
        </w:rPr>
        <w:t>Căn cứ Luật Tổ chức chí</w:t>
      </w:r>
      <w:r>
        <w:rPr>
          <w:b w:val="0"/>
          <w:i/>
        </w:rPr>
        <w:t>nh quyền địa phương ngày 19 tháng 6 năm 2015;</w:t>
      </w:r>
    </w:p>
    <w:p>
      <w:r>
        <w:rPr>
          <w:b w:val="0"/>
          <w:i/>
        </w:rPr>
        <w:t>Căn cứ Luật Ban hành văn bản quy phạm pháp luật 22 tháng 6 năm 2015;</w:t>
      </w:r>
    </w:p>
    <w:p>
      <w:r>
        <w:rPr>
          <w:b w:val="0"/>
          <w:i/>
        </w:rPr>
        <w:t>Căn cứ Luật Ngân sách nhà nước ngày 25 tháng 6 năm 2015;</w:t>
      </w:r>
    </w:p>
    <w:p>
      <w:r>
        <w:rPr>
          <w:b w:val="0"/>
          <w:i/>
        </w:rPr>
        <w:t>Căn cứ Quyết định số 2309/QĐ-TTg ngày 29 tháng 11 năm 2016 của Thủ tướng Chính phủ về giao dự toán thu, chi ngân sách nhà nước năm 2017;</w:t>
      </w:r>
    </w:p>
    <w:p>
      <w:r>
        <w:rPr>
          <w:b w:val="0"/>
          <w:i/>
        </w:rPr>
        <w:t>Căn cứ Quyết định số 2577/QĐ-BTC ngày 29 tháng 11 năm 2016 của Bộ Tài chính về việc giao dự toán thu, chi ngân sách nhà nước năm 2017;</w:t>
      </w:r>
    </w:p>
    <w:p>
      <w:r>
        <w:rPr>
          <w:b w:val="0"/>
          <w:i/>
        </w:rPr>
        <w:t>Căn cứ Nghị quyết số 118/2016/NQ-HĐND ngày 09 tháng 12 năm 2016 của Hội đồng nhân dân thành phố về Quy định phân cấp nguồn thu, nhiệm vụ chi thời kỳ ổn định ngân sách 2017-2020 cho từng cấp ngân sách ở thành phố và Tỷ lệ phần trăm (%) phân chia các khoản thu giữa ngân sách các cấp ở thành phố;</w:t>
      </w:r>
    </w:p>
    <w:p>
      <w:r>
        <w:rPr>
          <w:b w:val="0"/>
          <w:i/>
        </w:rPr>
        <w:t>Xét đề nghị của Giám đốc Sở Tài chính tại Công văn số 9718/STC-NS ngày 09 tháng 12 năm 2016 về giao dự toán thu chi ngân sách thành phố năm 2017; Quy định về phân cấp nguồn thu, nhiệm vụ chi thời kỳ ổn định ngân sách năm 2017-2020 và Tỷ lệ phần trăm (%) phân chia các khoản thu giữa ngân sách các cấp ở thành phố.</w:t>
      </w:r>
    </w:p>
    <w:p>
      <w:r>
        <w:rPr>
          <w:b/>
          <w:i w:val="0"/>
        </w:rPr>
        <w:t>QUYẾT ĐỊNH:</w:t>
      </w:r>
    </w:p>
    <w:p>
      <w:r>
        <w:rPr>
          <w:b/>
          <w:i w:val="0"/>
        </w:rPr>
        <w:t>Điều 1.</w:t>
      </w:r>
      <w:r>
        <w:rPr>
          <w:b w:val="0"/>
          <w:i w:val="0"/>
        </w:rPr>
        <w:t xml:space="preserve"> Ban hành kèm theo Quyết định này Quy định về phân cấp nguồn thu, nhiệm vụ chi cho từng cấp ngân sách và Tỷ lệ phần trăm (%) phân chia các khoản thu giữa ngân sách các cấp ở thành phố áp dụng trong thời kỳ ổn định ngân sách giai đoạn 2017-2020; bao gồm:</w:t>
      </w:r>
    </w:p>
    <w:p>
      <w:r>
        <w:rPr>
          <w:b w:val="0"/>
          <w:i w:val="0"/>
        </w:rPr>
        <w:t xml:space="preserve">- Quy định nguồn thu, nhiệm vụ chi cho từng cấp ngân sách ở thành phố thời kỳ ổn định ngân sách, giai đoạn 2017-2020 </w:t>
      </w:r>
      <w:r>
        <w:rPr>
          <w:b w:val="0"/>
          <w:i/>
        </w:rPr>
        <w:t>(Phụ lục 01)</w:t>
      </w:r>
      <w:r>
        <w:rPr>
          <w:b w:val="0"/>
          <w:i w:val="0"/>
        </w:rPr>
        <w:t>.</w:t>
      </w:r>
    </w:p>
    <w:p>
      <w:r>
        <w:rPr>
          <w:b w:val="0"/>
          <w:i w:val="0"/>
        </w:rPr>
        <w:t xml:space="preserve">- Quy định chi tiết tỷ lệ phần trăm (%) phân chia các khoản thu giữa ngân sách thành phố, ngân sách quận - huyện và ngân sách phường - xã, thị trấn thời kỳ ổn định ngân sách giai đoạn 2017-2020 </w:t>
      </w:r>
      <w:r>
        <w:rPr>
          <w:b w:val="0"/>
          <w:i/>
        </w:rPr>
        <w:t>(Phụ lục 02)</w:t>
      </w:r>
      <w:r>
        <w:rPr>
          <w:b w:val="0"/>
          <w:i w:val="0"/>
        </w:rPr>
        <w:t>.</w:t>
      </w:r>
    </w:p>
    <w:p>
      <w:r>
        <w:rPr>
          <w:b/>
          <w:i w:val="0"/>
        </w:rPr>
        <w:t xml:space="preserve">Điều 2. </w:t>
      </w:r>
      <w:r>
        <w:rPr>
          <w:b w:val="0"/>
          <w:i w:val="0"/>
        </w:rPr>
        <w:t>Quy định về phân cấp nguồn thu, nhiệm vụ chi cho từng cấp ngân sách và Tỷ lệ phần trăm (%) phân chia các khoản thu giữa ngân sách các cấp ở thành phố ban hành theo Quyết định này là cơ sở để xây dựng và phân bổ dự toán thu chi ngân sách địa phương từ năm 2017 và áp dụng trong suốt thời kỳ ổn định ngân sách giai đoạn 2017-2020 theo quy định của Luật Ngân sách nhà nước năm 2015.</w:t>
      </w:r>
    </w:p>
    <w:p>
      <w:r>
        <w:rPr>
          <w:b/>
          <w:i w:val="0"/>
        </w:rPr>
        <w:t>Điều 3. Tổ chức thực hiện</w:t>
      </w:r>
    </w:p>
    <w:p>
      <w:r>
        <w:rPr>
          <w:b/>
          <w:i w:val="0"/>
        </w:rPr>
        <w:t>1.</w:t>
      </w:r>
      <w:r>
        <w:rPr>
          <w:b w:val="0"/>
          <w:i w:val="0"/>
        </w:rPr>
        <w:t xml:space="preserve"> Căn cứ Quy định về phân cấp nguồn thu, nhiệm vụ chi cho từng cấp ngân sách; tỷ lệ phần trăm (%) phân chia các khoản thu giữa ngân sách các cấp ở thành phố và chỉ tiêu kế hoạch tài chính - ngân sách được giao, Ủy ban nhân dân quận - huyện tiến hành phân bổ và giao dự toán ngân sách hàng năm cho các đơn vị trực thuộc theo đúng quy định của Luật Ngân sách nhà nước năm 2015.</w:t>
      </w:r>
    </w:p>
    <w:p>
      <w:r>
        <w:rPr>
          <w:b/>
          <w:i w:val="0"/>
        </w:rPr>
        <w:t>2.</w:t>
      </w:r>
      <w:r>
        <w:rPr>
          <w:b w:val="0"/>
          <w:i w:val="0"/>
        </w:rPr>
        <w:t xml:space="preserve"> Trên cơ sở quy định phân cấp nguồn thu, nhiệm vụ chi giữa ngân sách các cấp, các Sở, ban, ngành và Ủy ban nhân dân các quận - huyện tổ chức quản lý, điều hành ngân sách các cấp theo đúng quy định, đảm bảo hoàn thành các nhiệm vụ chính trị được giao tại địa phương.</w:t>
      </w:r>
    </w:p>
    <w:p>
      <w:r>
        <w:rPr>
          <w:b/>
          <w:i w:val="0"/>
        </w:rPr>
        <w:t>3.</w:t>
      </w:r>
      <w:r>
        <w:rPr>
          <w:b w:val="0"/>
          <w:i w:val="0"/>
        </w:rPr>
        <w:t xml:space="preserve"> Trong quá trình điều hành ngân sách, trường hợp chính sách thay đổi làm nguồn thu của ngân sách thành phố biến động lớn, ảnh hưởng đáng kể đến khả năng huy động nguồn thu và thực hiện nhiệm vụ chi của các cấp ngân sách thì Ủy ban nhân dân thành phố trình Hội đồng nhân dân thành phố xem xét, điều chỉnh việc phân chia nguồn thu giữa ngân sách các cấp ở thành phố phù hợp với tình hình thực tế.</w:t>
      </w:r>
    </w:p>
    <w:p>
      <w:r>
        <w:rPr>
          <w:b/>
          <w:i w:val="0"/>
        </w:rPr>
        <w:t>Điều 4. Hiệu lực thi hành</w:t>
      </w:r>
    </w:p>
    <w:p>
      <w:r>
        <w:rPr>
          <w:b w:val="0"/>
          <w:i w:val="0"/>
        </w:rPr>
        <w:t>Quyết định này có hiệu lực thi hành từ ngày 01 tháng 01 năm 2017, được áp dụng trên địa bàn thành phố Hồ Chí Minh từ năm ngân sách 2017 và thời kỳ ổn định ngân sách 2017-2020 theo quy định của Luật Ngân sách nhà nước năm 2015.</w:t>
      </w:r>
    </w:p>
    <w:p>
      <w:r>
        <w:rPr>
          <w:b/>
          <w:i w:val="0"/>
        </w:rPr>
        <w:t>Điều 5.</w:t>
      </w:r>
      <w:r>
        <w:rPr>
          <w:b w:val="0"/>
          <w:i w:val="0"/>
        </w:rPr>
        <w:t xml:space="preserve"> Chánh Văn phòng Ủy ban nhân dân thành phố, Giám đốc Sở Tài chính, Giám đốc Sở Kế hoạch và Đầu tư, Giám đốc Kho bạc nhà nước thành phố, Cục trưởng Cục Thuế thành phố, Cục trưởng Cục Hải quan thành phố, Tổng Giám đốc Công ty TNHH một thành viên Xổ số kiến thiết thành phố, Thủ trưởng các cơ quan chuyên môn thuộc Ủy ban nhân dân thành phố, Chủ tịch Ủy ban nhân dân các quận - huyện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Trần Vĩnh Tuyến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Trần Vĩnh Tuyến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val="0"/>
        </w:rPr>
        <w:br/>
      </w:r>
      <w:r>
        <w:rPr>
          <w:b/>
          <w:i w:val="0"/>
        </w:rPr>
        <w:t>Trần Vĩnh Tuyến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Trần Vĩnh Tuyến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