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55/2000/QĐ-TTg Về việc ủy quyền quyết định bán, khoán kinh doanh, cho thuê doanh nghiệp nhà nước có vốn nhà nước từ 1 đến dưới 5 tỷ đồng</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55/2000/QĐ-TTg</w:t>
      </w:r>
      <w:r>
        <w:rPr>
          <w:b w:val="0"/>
          <w:i w:val="0"/>
        </w:rPr>
        <w:br/>
      </w:r>
      <w:r>
        <w:rPr>
          <w:b w:val="0"/>
          <w:i w:val="0"/>
        </w:rPr>
        <w:br/>
      </w:r>
      <w:r>
        <w:rPr>
          <w:b w:val="0"/>
          <w:i/>
        </w:rPr>
        <w:br/>
      </w:r>
      <w:r>
        <w:rPr>
          <w:b w:val="0"/>
          <w:i/>
        </w:rPr>
        <w:t>Hà Nội, ngày 22 tháng 5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55/2000/QĐ-TTg</w:t>
      </w:r>
      <w:r>
        <w:rPr>
          <w:b w:val="0"/>
          <w:i w:val="0"/>
        </w:rPr>
        <w:br/>
      </w:r>
      <w:r>
        <w:rPr>
          <w:b w:val="0"/>
          <w:i w:val="0"/>
        </w:rPr>
        <w:br/>
      </w:r>
      <w:r>
        <w:rPr>
          <w:b w:val="0"/>
          <w:i/>
        </w:rPr>
        <w:br/>
      </w:r>
      <w:r>
        <w:rPr>
          <w:b w:val="0"/>
          <w:i/>
        </w:rPr>
        <w:t>Hà Nội, ngày 22 tháng 5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55/2000/QĐ-TTg</w:t>
      </w:r>
      <w:r>
        <w:rPr>
          <w:b w:val="0"/>
          <w:i w:val="0"/>
        </w:rPr>
        <w:br/>
      </w:r>
      <w:r>
        <w:rPr>
          <w:b w:val="0"/>
          <w:i w:val="0"/>
        </w:rPr>
        <w:br/>
      </w:r>
      <w:r>
        <w:rPr>
          <w:b w:val="0"/>
          <w:i/>
        </w:rPr>
        <w:br/>
      </w:r>
      <w:r>
        <w:rPr>
          <w:b w:val="0"/>
          <w:i/>
        </w:rPr>
        <w:t>Hà Nội, ngày 22 tháng 5 năm 2000</w:t>
      </w:r>
      <w:r>
        <w:rPr>
          <w:b w:val="0"/>
          <w:i/>
        </w:rPr>
        <w:br/>
      </w:r>
      <w:r>
        <w:rPr>
          <w:b w:val="0"/>
          <w:i w:val="0"/>
        </w:rPr>
        <w:br/>
      </w:r>
    </w:p>
    <w:p>
      <w:pPr>
        <w:jc w:val="center"/>
      </w:pPr>
      <w:r>
        <w:rPr>
          <w:b w:val="0"/>
          <w:i w:val="0"/>
        </w:rPr>
        <w:br/>
      </w:r>
      <w:r>
        <w:rPr>
          <w:b w:val="0"/>
          <w:i w:val="0"/>
        </w:rPr>
        <w:t>Số: 55/2000/QĐ-TTg</w:t>
      </w:r>
      <w:r>
        <w:rPr>
          <w:b w:val="0"/>
          <w:i w:val="0"/>
        </w:rPr>
        <w:br/>
      </w:r>
    </w:p>
    <w:p>
      <w:pPr>
        <w:jc w:val="center"/>
      </w:pPr>
      <w:r>
        <w:rPr>
          <w:b w:val="0"/>
          <w:i w:val="0"/>
        </w:rPr>
        <w:br/>
      </w:r>
      <w:r>
        <w:rPr>
          <w:b w:val="0"/>
          <w:i w:val="0"/>
        </w:rPr>
        <w:t>Hà Nội, ngày 22 tháng 5 năm 2000</w:t>
      </w:r>
      <w:r>
        <w:rPr>
          <w:b w:val="0"/>
          <w:i w:val="0"/>
        </w:rPr>
        <w:br/>
      </w:r>
    </w:p>
    <w:p>
      <w:r>
        <w:rPr>
          <w:b w:val="0"/>
          <w:i w:val="0"/>
        </w:rPr>
        <w:br/>
      </w:r>
      <w:r>
        <w:rPr>
          <w:b/>
          <w:i w:val="0"/>
        </w:rPr>
        <w:t>QUYẾT ĐỊNH</w:t>
      </w:r>
      <w:r>
        <w:rPr>
          <w:b w:val="0"/>
          <w:i w:val="0"/>
        </w:rPr>
        <w:br/>
      </w:r>
      <w:r>
        <w:rPr>
          <w:b w:val="0"/>
          <w:i w:val="0"/>
        </w:rPr>
        <w:t xml:space="preserve">CỦA THỦ TƯỚNG CHÍNH PHỦ SỐ 55 /2000/QĐ-TTG NGÀY 22 THÁNG 5 NĂM </w:t>
      </w:r>
      <w:r>
        <w:rPr>
          <w:b w:val="0"/>
          <w:i w:val="0"/>
        </w:rPr>
        <w:t xml:space="preserve">2000 </w:t>
      </w:r>
      <w:r>
        <w:rPr>
          <w:b w:val="0"/>
          <w:i w:val="0"/>
        </w:rPr>
        <w:t xml:space="preserve">VỀ </w:t>
      </w:r>
      <w:r>
        <w:rPr>
          <w:b w:val="0"/>
          <w:i w:val="0"/>
        </w:rPr>
        <w:br/>
      </w:r>
      <w:r>
        <w:rPr>
          <w:b w:val="0"/>
          <w:i w:val="0"/>
        </w:rPr>
        <w:t xml:space="preserve">VIỆC ỦY QUYỀN QUYẾT ĐỊNH BÁN, KHOÁN KINH DOANH, </w:t>
      </w:r>
      <w:r>
        <w:rPr>
          <w:b w:val="0"/>
          <w:i w:val="0"/>
        </w:rPr>
        <w:t xml:space="preserve">CHO </w:t>
      </w:r>
      <w:r>
        <w:rPr>
          <w:b w:val="0"/>
          <w:i w:val="0"/>
        </w:rPr>
        <w:t xml:space="preserve">THUÊ DOANH </w:t>
      </w:r>
      <w:r>
        <w:rPr>
          <w:b w:val="0"/>
          <w:i w:val="0"/>
        </w:rPr>
        <w:br/>
      </w:r>
      <w:r>
        <w:rPr>
          <w:b w:val="0"/>
          <w:i w:val="0"/>
        </w:rPr>
        <w:t xml:space="preserve">NGHIỆP NHÀ NƯỚC CÓ VỐN NHÀ NƯỚC </w:t>
      </w:r>
      <w:r>
        <w:rPr>
          <w:b w:val="0"/>
          <w:i w:val="0"/>
        </w:rPr>
        <w:t>TỪ 1 ĐẾN DƯỚI 5 TỶ ĐỒNG</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103/1999/NĐ-CP ngày 10 tháng 9 năm 1999 của Chính phủ về giao, bán, khoán kinh doanh, cho thuê doanh nghiệp nhà nước;</w:t>
      </w:r>
      <w:r>
        <w:rPr>
          <w:b w:val="0"/>
          <w:i w:val="0"/>
        </w:rPr>
        <w:br/>
      </w:r>
      <w:r>
        <w:rPr>
          <w:b w:val="0"/>
          <w:i/>
        </w:rPr>
        <w:t>Theo đề nghị của Trưởng ban Ban Đổi mới quản lý doanh nghiệp Trung ương;</w:t>
      </w:r>
      <w:r>
        <w:rPr>
          <w:b/>
          <w:i w:val="0"/>
        </w:rPr>
        <w:t xml:space="preserve"> </w:t>
      </w:r>
      <w:r>
        <w:rPr>
          <w:b w:val="0"/>
          <w:i w:val="0"/>
        </w:rPr>
        <w:br/>
      </w:r>
      <w:r>
        <w:rPr>
          <w:b/>
          <w:i w:val="0"/>
        </w:rPr>
        <w:t>QUYẾT ĐỊNH</w:t>
      </w:r>
      <w:r>
        <w:rPr>
          <w:b w:val="0"/>
          <w:i w:val="0"/>
        </w:rPr>
        <w:t>:</w:t>
      </w:r>
      <w:r>
        <w:rPr>
          <w:b w:val="0"/>
          <w:i w:val="0"/>
        </w:rPr>
        <w:br/>
      </w:r>
      <w:r>
        <w:rPr>
          <w:b/>
          <w:i w:val="0"/>
        </w:rPr>
        <w:t xml:space="preserve">Điều 1. </w:t>
      </w:r>
      <w:r>
        <w:rPr>
          <w:b w:val="0"/>
          <w:i w:val="0"/>
        </w:rPr>
        <w:t>Nay ủy quyền cho Bộ trưởng, Thủ trưởng cơ quan ngang Bộ, Thủ trưởng cơ quan thuộc Chính phủ, Chủ tịch Ủy ban nhân dân tỉnh, thành phố trực thuộc Trung ương, Hội đồng quản trị Tổng công ty 91 quyết định việc bán,khoán kinh doanh, cho thuê doanh nghiệp nhà nước thuộc quyền quản lý có vốn nhà nước từ 1 tỷ đến dưới 5 tỷ đồng bị thua lỗ kéo dài nhưng chưa lâm vào tình trạng phá sản; trừ các doanh nghiệp là nông trường, lâm trường quốc doanh,doanh nghiệp nhà nước hoạt động trong lĩnh vực tư vấn, thiết kế, giám định.</w:t>
      </w:r>
      <w:r>
        <w:rPr>
          <w:b w:val="0"/>
          <w:i w:val="0"/>
        </w:rPr>
        <w:br/>
      </w:r>
      <w:r>
        <w:rPr>
          <w:b/>
          <w:i w:val="0"/>
        </w:rPr>
        <w:t xml:space="preserve">Điều 2. </w:t>
      </w:r>
      <w:r>
        <w:rPr>
          <w:b w:val="0"/>
          <w:i w:val="0"/>
        </w:rPr>
        <w:t>Hàng năm, căn cứ phương án tổng thể sắp xếp doanh nghiệp nhà nước đã được phê duyệt, Bộ trưởng, Thủ trưởng cơ quan ngang Bộ, Thủ trưởng cơ quan thuộc Chính phủ, Chủ tịch Ủy ban nhân dân tỉnh, thành phố trực thuộc Trung ương, Hội đồng quản trị Tổng công ty 91 báo cáo Thủ tướng Chính phủ kế hoạch và tình hình thực hiện việc bán, khoán kinh doanh, cho thuê doanh nghiệp nhà nước nêu tại Điều 1 Quyết định này.</w:t>
      </w:r>
      <w:r>
        <w:rPr>
          <w:b w:val="0"/>
          <w:i w:val="0"/>
        </w:rPr>
        <w:br/>
      </w:r>
      <w:r>
        <w:rPr>
          <w:b/>
          <w:i w:val="0"/>
        </w:rPr>
        <w:t xml:space="preserve">Điều 3. </w:t>
      </w:r>
      <w:r>
        <w:rPr>
          <w:b w:val="0"/>
          <w:i w:val="0"/>
        </w:rPr>
        <w:t>Người được ủy quyền có trách nhiệm phối hợp với các Bộ, ngành, cơ quan có liên quan xử lý các vấn đề về lao động, tài chính, chế độ chính sách đối với các doanh nghiệp thực hiện các hình thức chuyển đổi nói trên, bảo đảm đúng pháp luật hiện hành.</w:t>
      </w:r>
      <w:r>
        <w:rPr>
          <w:b w:val="0"/>
          <w:i w:val="0"/>
        </w:rPr>
        <w:br/>
      </w:r>
      <w:r>
        <w:rPr>
          <w:b/>
          <w:i w:val="0"/>
        </w:rPr>
        <w:t>Điều 4.</w:t>
      </w:r>
      <w:r>
        <w:rPr>
          <w:b w:val="0"/>
          <w:i w:val="0"/>
        </w:rPr>
        <w:t xml:space="preserve"> Quyết định này có hiệu lực sau 15 ngày kể từ ngày ký.</w:t>
      </w:r>
      <w:r>
        <w:rPr>
          <w:b w:val="0"/>
          <w:i w:val="0"/>
        </w:rPr>
        <w:br/>
      </w:r>
      <w:r>
        <w:rPr>
          <w:b w:val="0"/>
          <w:i w:val="0"/>
        </w:rPr>
        <w:t>Các Bộ trưởng, Thủ trưởng cơ quan ngang Bộ, Thủ trưởng cơ quan thuộc Chính phủ, Chủ tịch Ủy ban nhân dân tỉnh, thành phố trực thuộc Trung ương, Hội đồng Quản trị Tổng công ty 91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Nguyễn Tấn Dũng</w:t>
      </w:r>
      <w:r>
        <w:rPr>
          <w:b w:val="0"/>
          <w:i w:val="0"/>
        </w:rPr>
        <w:t>(Đã ký)</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Nguyễn Tấn Dũng</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