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Quyết định số 55/2004/QĐ-BTC Về việc ban hành Quy chế tổ chức và hoạt động của công ty chứng khoán</w:t>
      </w:r>
    </w:p>
    <w:p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BỘ TÀI CHÍNH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CỘNG HÒA XÃ HỘI CHỦ NGHĨA VIỆT NAM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Độc lập – Tự do – Hạnh phúc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Số: 55/2004/QĐ-BTC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/>
        </w:rPr>
        <w:br/>
      </w:r>
      <w:r>
        <w:rPr>
          <w:b w:val="0"/>
          <w:i/>
        </w:rPr>
        <w:t>Hà Nội, ngày 17 tháng 6 năm 2004</w:t>
      </w:r>
      <w:r>
        <w:rPr>
          <w:b w:val="0"/>
          <w:i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BỘ TÀI CHÍNH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CỘNG HÒA XÃ HỘI CHỦ NGHĨA VIỆT NAM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Độc lập – Tự do – Hạnh phúc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Số: 55/2004/QĐ-BTC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/>
        </w:rPr>
        <w:br/>
      </w:r>
      <w:r>
        <w:rPr>
          <w:b w:val="0"/>
          <w:i/>
        </w:rPr>
        <w:t>Hà Nội, ngày 17 tháng 6 năm 2004</w:t>
      </w:r>
      <w:r>
        <w:rPr>
          <w:b w:val="0"/>
          <w:i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BỘ TÀI CHÍNH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CỘNG HÒA XÃ HỘI CHỦ NGHĨA VIỆT NAM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Độc lập – Tự do – Hạnh phúc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BỘ TÀI CHÍNH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t>BỘ TÀI CHÍNH</w:t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CỘNG HÒA XÃ HỘI CHỦ NGHĨA VIỆT NAM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Độc lập – Tự do – Hạnh phúc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t>CỘNG HÒA XÃ HỘI CHỦ NGHĨA VIỆT NAM</w:t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t>Độc lập – Tự do – Hạnh phúc</w:t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Số: 55/2004/QĐ-BTC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/>
        </w:rPr>
        <w:br/>
      </w:r>
      <w:r>
        <w:rPr>
          <w:b w:val="0"/>
          <w:i/>
        </w:rPr>
        <w:t>Hà Nội, ngày 17 tháng 6 năm 2004</w:t>
      </w:r>
      <w:r>
        <w:rPr>
          <w:b w:val="0"/>
          <w:i/>
        </w:rPr>
        <w:br/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</w:r>
      <w:r>
        <w:rPr>
          <w:b w:val="0"/>
          <w:i w:val="0"/>
        </w:rPr>
        <w:t>Số: 55/2004/QĐ-BTC</w:t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</w:r>
      <w:r>
        <w:rPr>
          <w:b w:val="0"/>
          <w:i w:val="0"/>
        </w:rPr>
        <w:t>Hà Nội, ngày 17 tháng 6 năm 2004</w:t>
      </w:r>
      <w:r>
        <w:rPr>
          <w:b w:val="0"/>
          <w:i w:val="0"/>
        </w:rPr>
        <w:br/>
      </w:r>
    </w:p>
    <w:p>
      <w:r>
        <w:rPr>
          <w:b/>
          <w:i w:val="0"/>
        </w:rPr>
        <w:t>QUYẾT ĐỊNH</w:t>
      </w:r>
    </w:p>
    <w:p>
      <w:r>
        <w:rPr>
          <w:b/>
          <w:i w:val="0"/>
        </w:rPr>
        <w:t>Về việc ban hành Quy chế tổ chức và hoạt động của công ty chứng khoán</w:t>
      </w:r>
    </w:p>
    <w:p>
      <w:r>
        <w:rPr>
          <w:b/>
          <w:i w:val="0"/>
        </w:rPr>
        <w:t>BỘ TRƯỞNG BỘ TÀI CHÍNH</w:t>
      </w:r>
    </w:p>
    <w:p>
      <w:r>
        <w:rPr>
          <w:b w:val="0"/>
          <w:i/>
        </w:rPr>
        <w:t>Căn cứ Nghị định số 144/2003/NĐ-CP ngày 28 tháng 11 năm 2003 của Chính phủ về chứng khoán và thị trường chứng khoán;</w:t>
      </w:r>
    </w:p>
    <w:p>
      <w:r>
        <w:rPr>
          <w:b w:val="0"/>
          <w:i/>
        </w:rPr>
        <w:t>Căn cứ Nghị định 77/2003/NĐ-CP của Chính phủ ngày 01 tháng 7 năm 2003 quy định chức năng, nhiệm vụ, quyền hạn và tổ chức bộ máy của Bộ Tài chính;</w:t>
      </w:r>
    </w:p>
    <w:p>
      <w:r>
        <w:rPr>
          <w:b w:val="0"/>
          <w:i/>
        </w:rPr>
        <w:t>Theo đề nghị của Chủ tịch Ủy ban Chứng khoán Nhà nước,</w:t>
      </w:r>
      <w:r>
        <w:rPr>
          <w:b w:val="0"/>
          <w:i w:val="0"/>
        </w:rPr>
        <w:t xml:space="preserve"> </w:t>
      </w:r>
    </w:p>
    <w:p>
      <w:r>
        <w:rPr>
          <w:b/>
          <w:i w:val="0"/>
        </w:rPr>
        <w:t>QUYẾT ĐỊNH:</w:t>
      </w:r>
    </w:p>
    <w:p>
      <w:r>
        <w:rPr>
          <w:b w:val="0"/>
          <w:i w:val="0"/>
        </w:rPr>
        <w:t xml:space="preserve"> </w:t>
      </w:r>
      <w:r>
        <w:rPr>
          <w:b/>
          <w:i w:val="0"/>
        </w:rPr>
        <w:t xml:space="preserve">Điều 1. </w:t>
      </w:r>
      <w:r>
        <w:rPr>
          <w:b w:val="0"/>
          <w:i w:val="0"/>
        </w:rPr>
        <w:t>Ban hành kèm theo Quyết định này Quy chế tổ chức và hoạt động của công ty chứng khoán.</w:t>
      </w:r>
    </w:p>
    <w:p>
      <w:r>
        <w:rPr>
          <w:b/>
          <w:i w:val="0"/>
        </w:rPr>
        <w:t xml:space="preserve">Điều 2. </w:t>
      </w:r>
      <w:r>
        <w:rPr>
          <w:b w:val="0"/>
          <w:i w:val="0"/>
        </w:rPr>
        <w:t>Quyết định này có hiệu lực sau 15 ngày, kể từ ngày đăng Công báo.</w:t>
      </w:r>
    </w:p>
    <w:p>
      <w:r>
        <w:rPr>
          <w:b/>
          <w:i w:val="0"/>
        </w:rPr>
        <w:t>Điều 3.</w:t>
      </w:r>
      <w:r>
        <w:rPr>
          <w:b w:val="0"/>
          <w:i w:val="0"/>
        </w:rPr>
        <w:t xml:space="preserve"> Chủ tịch Ủy ban Chứng khoán Nhà nước, các công ty chứng khoán và các bên có liên quan chịu trách nhiệm thi hành quyết định này.</w:t>
      </w:r>
      <w:r>
        <w:rPr>
          <w:b w:val="0"/>
          <w:i w:val="0"/>
        </w:rPr>
        <w:t xml:space="preserve"> </w:t>
      </w:r>
    </w:p>
    <w:p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 xml:space="preserve">KT. BỘ TRƯỞNG </w:t>
      </w:r>
      <w:r>
        <w:rPr>
          <w:b/>
          <w:i w:val="0"/>
        </w:rPr>
        <w:br/>
      </w:r>
      <w:r>
        <w:br/>
      </w:r>
      <w:r>
        <w:rPr>
          <w:b/>
          <w:i w:val="0"/>
        </w:rPr>
        <w:t>THỨ TRƯỞNG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/>
        </w:rPr>
        <w:br/>
      </w:r>
      <w:r>
        <w:rPr>
          <w:b/>
          <w:i/>
        </w:rPr>
        <w:t>(Đã ký)</w:t>
      </w:r>
      <w:r>
        <w:rPr>
          <w:b/>
          <w:i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Lê Thị Băng Tâm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 xml:space="preserve">KT. BỘ TRƯỞNG </w:t>
      </w:r>
      <w:r>
        <w:rPr>
          <w:b/>
          <w:i w:val="0"/>
        </w:rPr>
        <w:br/>
      </w:r>
      <w:r>
        <w:br/>
      </w:r>
      <w:r>
        <w:rPr>
          <w:b/>
          <w:i w:val="0"/>
        </w:rPr>
        <w:t>THỨ TRƯỞNG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/>
        </w:rPr>
        <w:br/>
      </w:r>
      <w:r>
        <w:rPr>
          <w:b/>
          <w:i/>
        </w:rPr>
        <w:t>(Đã ký)</w:t>
      </w:r>
      <w:r>
        <w:rPr>
          <w:b/>
          <w:i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Lê Thị Băng Tâm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 xml:space="preserve">KT. BỘ TRƯỞNG </w:t>
      </w:r>
      <w:r>
        <w:rPr>
          <w:b/>
          <w:i w:val="0"/>
        </w:rPr>
        <w:br/>
      </w:r>
      <w:r>
        <w:br/>
      </w:r>
      <w:r>
        <w:rPr>
          <w:b/>
          <w:i w:val="0"/>
        </w:rPr>
        <w:t>THỨ TRƯỞNG</w:t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/>
          <w:i/>
        </w:rPr>
        <w:br/>
      </w:r>
      <w:r>
        <w:rPr>
          <w:b/>
          <w:i/>
        </w:rPr>
        <w:t>(Đã ký)</w:t>
      </w:r>
      <w:r>
        <w:rPr>
          <w:b/>
          <w:i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Lê Thị Băng Tâm</w:t>
      </w:r>
      <w:r>
        <w:rPr>
          <w:b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t xml:space="preserve">KT. BỘ TRƯỞNG </w:t>
      </w:r>
      <w:r>
        <w:rPr>
          <w:b w:val="0"/>
          <w:i w:val="0"/>
        </w:rPr>
        <w:br/>
      </w:r>
      <w:r>
        <w:br/>
      </w:r>
      <w:r>
        <w:rPr>
          <w:b w:val="0"/>
          <w:i w:val="0"/>
        </w:rPr>
        <w:t>THỨ TRƯỞNG</w:t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t>(Đã ký)</w:t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t>Lê Thị Băng Tâm</w:t>
      </w:r>
      <w:r>
        <w:rPr>
          <w:b w:val="0"/>
          <w:i w:val="0"/>
        </w:rPr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