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564/TCQĐ-TCCB V/v giao nhiệm vụ điều hành Công ty Bảo hiểm Hà Nội</w:t>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564/TCQĐ-TCCB</w:t>
        <w:br/>
        <w:t xml:space="preserve">    </w:t>
      </w:r>
      <w:r>
        <w:rPr>
          <w:b w:val="0"/>
          <w:i w:val="0"/>
        </w:rPr>
        <w:br/>
      </w:r>
      <w:r>
        <w:rPr>
          <w:b w:val="0"/>
          <w:i/>
        </w:rPr>
        <w:br/>
        <w:t xml:space="preserve">     Hà Nội, ngày 29 tháng 5 năm 1995</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564/TCQĐ-TCCB</w:t>
        <w:br/>
        <w:t xml:space="preserve">    </w:t>
      </w:r>
      <w:r>
        <w:rPr>
          <w:b w:val="0"/>
          <w:i w:val="0"/>
        </w:rPr>
        <w:br/>
      </w:r>
      <w:r>
        <w:rPr>
          <w:b w:val="0"/>
          <w:i/>
        </w:rPr>
        <w:br/>
        <w:t xml:space="preserve">     Hà Nội, ngày 29 tháng 5 năm 1995</w:t>
        <w:br/>
        <w:t xml:space="preserve">    </w:t>
      </w:r>
      <w:r>
        <w:rPr>
          <w:b w:val="0"/>
          <w:i w:val="0"/>
        </w:rPr>
        <w:br/>
      </w:r>
    </w:p>
    <w:p>
      <w:pPr>
        <w:jc w:val="center"/>
      </w:pPr>
      <w:r>
        <w:rPr>
          <w:b w:val="0"/>
          <w:i w:val="0"/>
        </w:rPr>
        <w:br/>
        <w:t xml:space="preserve">     Số: 564/TCQĐ-TCCB</w:t>
        <w:br/>
        <w:t xml:space="preserve">    </w:t>
      </w:r>
    </w:p>
    <w:p>
      <w:pPr>
        <w:jc w:val="center"/>
      </w:pPr>
      <w:r>
        <w:rPr>
          <w:b w:val="0"/>
          <w:i w:val="0"/>
        </w:rPr>
        <w:br/>
        <w:t xml:space="preserve">     Hà Nội, ngày 29 tháng 5 năm 1995</w:t>
        <w:br/>
        <w:t xml:space="preserve">    </w:t>
      </w:r>
    </w:p>
    <w:p>
      <w:r>
        <w:rPr>
          <w:b/>
          <w:i w:val="0"/>
        </w:rPr>
        <w:t>QUYẾT ĐỊNH</w:t>
      </w:r>
    </w:p>
    <w:p>
      <w:r>
        <w:rPr>
          <w:b/>
          <w:i w:val="0"/>
        </w:rPr>
        <w:t>V/v giao nhiệm vụ điều hành Công ty Bảo hiểm Hà Nội</w:t>
      </w:r>
    </w:p>
    <w:p>
      <w:r>
        <w:rPr>
          <w:b w:val="0"/>
          <w:i w:val="0"/>
        </w:rPr>
        <w:t>______________________</w:t>
      </w:r>
    </w:p>
    <w:p>
      <w:r>
        <w:rPr>
          <w:b w:val="0"/>
          <w:i w:val="0"/>
        </w:rPr>
        <w:t xml:space="preserve"> </w:t>
      </w:r>
      <w:r>
        <w:rPr>
          <w:b w:val="0"/>
          <w:i/>
        </w:rPr>
        <w:t>Căn cứ Nghị định số 15/CP ngày 02/3/1993 của Chính phủ về nhiệm vụ, quyền hạn và trách nhiệm quản lý Nhà nước của Bộ, cơ quan ngang Bộ;</w:t>
      </w:r>
    </w:p>
    <w:p>
      <w:r>
        <w:rPr>
          <w:b w:val="0"/>
          <w:i/>
        </w:rPr>
        <w:t>Căn cứ Nghị định số 178/CP ngày 28 tháng 10 năm 1994 của Chính phủ về nhiệm vụ quyền hạn và Tổ chức bộ máy Bộ Tài chính;</w:t>
      </w:r>
    </w:p>
    <w:p>
      <w:r>
        <w:rPr>
          <w:b w:val="0"/>
          <w:i/>
        </w:rPr>
        <w:t>Xét tình hình sức khoẻ đ/c Nguyễn Ngọc Tuệ, Giám đốc Công ty bảo hiểm Hà nội phải điều trị lâu dài do bị tai nạn giao thông;</w:t>
      </w:r>
    </w:p>
    <w:p>
      <w:r>
        <w:rPr>
          <w:b w:val="0"/>
          <w:i/>
        </w:rPr>
        <w:t>Theo đề nghị của đồng chí Tổng giám đốc Tổng công ty Bảo hiểm Việt Nam, Vụ trưởng Vụ Tổ chức cán bộ và đào tạo.</w:t>
      </w:r>
    </w:p>
    <w:p>
      <w:r>
        <w:rPr>
          <w:b/>
          <w:i w:val="0"/>
        </w:rPr>
        <w:t>QUYẾT ĐỊNH</w:t>
      </w:r>
    </w:p>
    <w:p>
      <w:r>
        <w:rPr>
          <w:b/>
          <w:i w:val="0"/>
        </w:rPr>
        <w:t>Điều 1. Giao cho đ/c Nguyễn Đăng Diệm - Phó Tổng Giám đốc Tổng Công tyBảo hiểm Việt Nam tạm thời kiêm nhiệm vụ Giám đốc Công ty Bảo hiểm Hà nội trong thời gian đ/c Nguyễn Ngọc Tuệ nghỉ để điều trị.</w:t>
      </w:r>
    </w:p>
    <w:p>
      <w:r>
        <w:rPr>
          <w:b/>
          <w:i w:val="0"/>
        </w:rPr>
        <w:t>Điều 2. Quyết định này có hiệu lực kể từ ngày ký. Các đồng chí Vụ trưởng Vụ Tổ chức cán bộ và đào tạo, Tổng giám đốc Tổng Công tyBảo hiểm Việt Nam và đ/c Nguyễn Đăng Diệm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KT/BỘ</w:t>
            </w:r>
            <w:r>
              <w:rPr>
                <w:b/>
                <w:i w:val="0"/>
              </w:rPr>
              <w:t xml:space="preserve"> TR</w:t>
            </w:r>
            <w:r>
              <w:rPr>
                <w:b/>
                <w:i w:val="0"/>
              </w:rPr>
              <w:t>Ư</w:t>
            </w:r>
            <w:r>
              <w:rPr>
                <w:b/>
                <w:i w:val="0"/>
              </w:rPr>
              <w:t>ỞNG BỘ TÀI CHÍNH</w:t>
            </w:r>
            <w:r>
              <w:rPr>
                <w:b w:val="0"/>
                <w:i w:val="0"/>
              </w:rPr>
              <w:br/>
            </w:r>
            <w:r>
              <w:rPr>
                <w:b/>
                <w:i w:val="0"/>
              </w:rPr>
              <w:t>THỨ</w:t>
            </w:r>
            <w:r>
              <w:rPr>
                <w:b/>
                <w:i w:val="0"/>
              </w:rPr>
              <w:t xml:space="preserve"> TR</w:t>
            </w:r>
            <w:r>
              <w:rPr>
                <w:b/>
                <w:i w:val="0"/>
              </w:rPr>
              <w:t>Ư</w:t>
            </w:r>
            <w:r>
              <w:rPr>
                <w:b/>
                <w:i w:val="0"/>
              </w:rPr>
              <w:t>ỞNG</w:t>
            </w:r>
            <w:r>
              <w:rPr>
                <w:b w:val="0"/>
                <w:i w:val="0"/>
              </w:rPr>
              <w:br/>
            </w:r>
            <w:r>
              <w:rPr>
                <w:b/>
                <w:i/>
              </w:rPr>
              <w:t>(</w:t>
            </w:r>
            <w:r>
              <w:rPr>
                <w:b/>
                <w:i/>
              </w:rPr>
              <w:t>Đ</w:t>
            </w:r>
            <w:r>
              <w:rPr>
                <w:b/>
                <w:i/>
              </w:rPr>
              <w:t>ã ký)</w:t>
            </w:r>
            <w:r>
              <w:rPr>
                <w:b w:val="0"/>
                <w:i w:val="0"/>
              </w:rPr>
              <w:br/>
            </w:r>
            <w:r>
              <w:rPr>
                <w:b/>
                <w:i w:val="0"/>
              </w:rPr>
              <w:t xml:space="preserve"> </w:t>
            </w:r>
            <w:r>
              <w:rPr>
                <w:b w:val="0"/>
                <w:i w:val="0"/>
              </w:rPr>
              <w:br/>
            </w:r>
            <w:r>
              <w:rPr>
                <w:b/>
                <w:i w:val="0"/>
              </w:rPr>
              <w:t>Vũ Mộng Giao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