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56/UB-CT Kiểm điểm việc chấp hành Chỉ thị 48/CT/UB</w:t>
        <w:br/>
        <w:t>ngày 08 tháng 10 năm 1978 về tăng cường tổ chức hoạt động</w:t>
        <w:br/>
        <w:t>Thanh tra nhân dân ở các Ty, ngành và cơ sở.</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r>
              <w:rPr>
                <w:b w:val="0"/>
                <w:i w:val="0"/>
              </w:rPr>
              <w:br/>
            </w:r>
            <w:r>
              <w:rPr>
                <w:b/>
                <w:i w:val="0"/>
              </w:rPr>
              <w:t>__________</w:t>
            </w:r>
          </w:p>
        </w:tc>
        <w:tc>
          <w:tcPr>
            <w:tcW w:type="dxa" w:w="4320"/>
          </w:tcPr>
          <w:p>
            <w:r>
              <w:rPr>
                <w:b w:val="0"/>
                <w:i w:val="0"/>
              </w:rPr>
              <w:br/>
            </w:r>
            <w:r>
              <w:rPr>
                <w:b/>
                <w:i w:val="0"/>
              </w:rPr>
              <w:t>CỘNG HÒA XÃ HỘI CHỦ NGHĨA VIỆT NAM</w:t>
            </w:r>
            <w:r>
              <w:rPr>
                <w:b w:val="0"/>
                <w:i w:val="0"/>
              </w:rPr>
              <w:br/>
            </w:r>
            <w:r>
              <w:rPr>
                <w:b/>
                <w:i w:val="0"/>
              </w:rPr>
              <w:t>Ðộc lập - Tự do - Hạnh phúc</w:t>
            </w:r>
            <w:r>
              <w:rPr>
                <w:b w:val="0"/>
                <w:i w:val="0"/>
              </w:rPr>
              <w:br/>
            </w:r>
            <w:r>
              <w:rPr>
                <w:b/>
                <w:i w:val="0"/>
              </w:rPr>
              <w:t>__________________</w:t>
            </w:r>
          </w:p>
        </w:tc>
      </w:tr>
    </w:tbl>
    <w:p>
      <w:r>
        <w:rPr>
          <w:b/>
          <w:i w:val="0"/>
        </w:rPr>
        <w:t>CHỈ THỊ</w:t>
      </w:r>
    </w:p>
    <w:p>
      <w:r>
        <w:rPr>
          <w:b/>
          <w:i w:val="0"/>
        </w:rPr>
        <w:t>Kiểm điểm việc chấp hành Chỉ thị 48/CT/UB</w:t>
      </w:r>
    </w:p>
    <w:p>
      <w:r>
        <w:rPr>
          <w:b/>
          <w:i w:val="0"/>
        </w:rPr>
        <w:t>ngày 08 tháng 10 năm 1978 về tăng cường tổ chức hoạt động</w:t>
      </w:r>
    </w:p>
    <w:p>
      <w:r>
        <w:rPr>
          <w:b/>
          <w:i w:val="0"/>
        </w:rPr>
        <w:t>Thanh tra nhân dân ở các Ty, ngành và cơ sở.</w:t>
      </w:r>
    </w:p>
    <w:p>
      <w:r>
        <w:rPr>
          <w:b w:val="0"/>
          <w:i w:val="0"/>
        </w:rPr>
        <w:t>Qua báo cáo của Uỷ ban Thanh tra tỉnh và theo dõi của Thường trực Uỷ ban thì việc chấp hành Chỉ thị 48/CT/UB ngày 08 tháng 10 năm 1978 của Uỷ ban nhân dân tỉnh về tăng cường và tổ chức hoạt động thanh tra nhân dân ở các Ty, ngành và cơ sở Đảng có phát triển hơn trước nhưng nhìn chung thì còn quá chậm chạp.</w:t>
      </w:r>
    </w:p>
    <w:p>
      <w:r>
        <w:rPr>
          <w:b w:val="0"/>
          <w:i w:val="0"/>
        </w:rPr>
        <w:t>Theo tinh thần Chỉ thị trên thì cuối tháng 10 năm 1978 thì các ngành cấp tỉnh, huyện tổ chức xong và đi vào hoạt động, còn đối với xã, phường ít nhất cũng phải đạt 50% số xã có Ban Thanh tra nhân dân và phấn đấu đến cuối quý I năm 1979 tổ chức xong các Ban Thanh tra nhân dân xã. Nhưng đến ngày 15 tháng 11 năm 1978 thì chỉ mới có Ty Công nghiệp đầu tháng 11 năm 1978 vừa tổ chức được một Ban Thanh tra nhân dân, ngoài Ty Thương nghiệp sẽ tổ chức được một Ban Thanh tra nhân dân từ đầu năm 1978, còn các huyện thị thì nơi nào chưa đạt được 50% số xã phường có Ban Thanh tra nhân dân, chỉ có huyện Châu Thành đã tổ chức được 2 Ban Thanh tra nhân dân và đạt tỷ lệ 10%, huyện Ba Tri tổ chức được 03 Ban Thanh tra nhân dân ở 03 Phòng của huyện,… thị xã tổ chức được 02 Ban Thanh tra nhân dân ở phường (18%), huyện Mỏ Cày tổ chức được 01 Ban Thanh tra nhân dân ở xã An Định. Một số ngành và huyện đang triển khai tổ chức như: Y tế, Bưu  điện, huyện Châu Thành, Giồng Trôm, Chợ Lách.</w:t>
      </w:r>
    </w:p>
    <w:p>
      <w:r>
        <w:rPr>
          <w:b w:val="0"/>
          <w:i w:val="0"/>
        </w:rPr>
        <w:t>Nguyên nhân có tình hình trên là do những tháng vừa qua, các ngành các cấp bận nhiều công việc. Nhưng đáng chú ý là các cấp lãnh đạo quản lý cơ quan chính quyền các ngành chưa thấy hết tầm quan trọng và ý nghĩa cấp bách của yêu cầu phát triển tổ chức và hoạt động của ngành thanh tra và công tác thanh tra đối với việc quản lý chính quyền, quản lý kinh tế, đảm bảo quyền làm chủ tập thể của nhân dân lao động.</w:t>
      </w:r>
    </w:p>
    <w:p>
      <w:r>
        <w:rPr>
          <w:b w:val="0"/>
          <w:i w:val="0"/>
        </w:rPr>
        <w:t>Tình hình hiện nay nếu chúng ta không kịp thời tổ chức Ban Thanh tra nhân dân ở những nơi cần tổ chức là để duy trì tình trạng tuỳ tiện của người phụ trách nuôi dưỡng những hành động sai trái dẫn đến những thiệt hại về tài sản của Nhà nước, hư hỏng cán bộ, làm sức mẻ lòng tin của quần chúng nhân dân đối với Đảng, chính quyền cách mạng.</w:t>
      </w:r>
    </w:p>
    <w:p>
      <w:r>
        <w:rPr>
          <w:b w:val="0"/>
          <w:i w:val="0"/>
        </w:rPr>
        <w:t>Đề nghị các đồng chí phụ trách các Ty, ngành tỉnh có cơ sở sản xuất kinh doanh như nông nghiệp, thương nghiệp, giao thông vận tải, vật tư tổng hợp, thuỷ lợi, thuỷ sản, xây dựng cơ bản, điện lực, lương thực,… và các đồng chí Chủ tịch Uỷ ban nhân dân các huyện, thị xã phụ trách khối nội chính cần phải tranh thủ báo cáo với tập thể về ý nghĩa quan trọng, sự cần thiết cấp bách và kiểm điểm lý do vì sao mà không tổ chức được các Ban Thanh tra nhân dân ở cơ sở theo chỉ tiệu trong Chỉ thị 48 đã đề ra để làm cho tập thể thông suốt và cố gắng hơn nữa thi hành đầy đủ Chỉ thị 48/UB.</w:t>
      </w:r>
    </w:p>
    <w:p>
      <w:r>
        <w:rPr>
          <w:b w:val="0"/>
          <w:i w:val="0"/>
        </w:rPr>
        <w:t>Đi đôi với khẩn trương tổ chức các Ban Thanh tra nhân dân và đào tạo cán bộ thanh tra chuyên trách, hướng dẫn các tổ chức thanh tra hoạt động có tác dụng thiết thực; vấn đề này Thường vụ Tỉnh uỷ và Uỷ ban nhân dân tỉnh đã có nhiều Chỉ thị hướng dẫn. Đề nghị các Uỷ ban nhân dân huyện, thị và các ngành nghiêm chỉnh thực hiện.</w:t>
      </w:r>
    </w:p>
    <w:p>
      <w:r>
        <w:rPr>
          <w:b w:val="0"/>
          <w:i w:val="0"/>
        </w:rPr>
        <w:t>Hiện nay tình hình sản xuất và quản lý kinh tế cũng như giữ vững trật tự, trị an đang phát triển và bộc lộ nhiều nhược điểm của bước trưởng thành. Việc xác lập vả phát huy quyền làm chủ tệp thể xã hội chủ nghĩa của nhân dân lao động vừa có ý nghĩa cơ bản vừa là việc làm cấp bách thiết thực tăng cường quyền lực của hệ thống chuyên chính vô sản, đảm bảo sự lãnh đạo của Đảng và kịp thời phát hiện, đấu tranh sửa chữa tệ quan liêu cửa quyền, có mối quan hệ gắn bó giữa quần chúng nhân dân với Đảng và chính quyền cách mạng.</w:t>
      </w:r>
    </w:p>
    <w:p>
      <w:r>
        <w:rPr>
          <w:b w:val="0"/>
          <w:i w:val="0"/>
        </w:rPr>
        <w:t>Các đồng chí nghiên cứu kỹ Chỉ thị 48/UB phát huy thành tích, khắc phục thiếu sót, nhất là những ngành và địa phương chưa tổ chức được hệ thống thanh tra trong ngành phải khẩn trương tổ chức và chỉ đạo hoạt động theo đúng Chỉ thị của cấp Uỷ và Uỷ ban nhân dân tỉnh./.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UỶ BAN NHÂN DÂN TỈNH BẾN TRE</w:t>
            </w:r>
            <w:r>
              <w:rPr>
                <w:b w:val="0"/>
                <w:i w:val="0"/>
              </w:rPr>
              <w:br/>
            </w:r>
            <w:r>
              <w:rPr>
                <w:b/>
                <w:i w:val="0"/>
              </w:rPr>
              <w:t>Q. CHỦ TỊCH</w:t>
            </w:r>
            <w:r>
              <w:rPr>
                <w:b w:val="0"/>
                <w:i w:val="0"/>
              </w:rPr>
              <w:br/>
            </w:r>
            <w:r>
              <w:rPr>
                <w:b/>
                <w:i/>
              </w:rPr>
              <w:t>(Đã ký)</w:t>
            </w:r>
            <w:r>
              <w:rPr>
                <w:b w:val="0"/>
                <w:i w:val="0"/>
              </w:rPr>
              <w:br/>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