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57/2018/TT-BGTVT Công bố vùng nước cảng biển thuộc địa phận tỉnh Quảng Trị và khu vực quản lý của Cảng vụ Hàng hải Quảng Trị</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57/2018/TT-BGTVT</w:t>
        <w:br/>
        <w:t xml:space="preserve">     </w:t>
      </w:r>
      <w:r>
        <w:rPr>
          <w:b w:val="0"/>
          <w:i w:val="0"/>
        </w:rPr>
        <w:br/>
      </w:r>
      <w:r>
        <w:rPr>
          <w:b w:val="0"/>
          <w:i/>
        </w:rPr>
        <w:br/>
        <w:t xml:space="preserve">      Hà nội, ngày 14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57/2018/TT-BGTVT</w:t>
        <w:br/>
        <w:t xml:space="preserve">     </w:t>
      </w:r>
      <w:r>
        <w:rPr>
          <w:b w:val="0"/>
          <w:i w:val="0"/>
        </w:rPr>
        <w:br/>
      </w:r>
      <w:r>
        <w:rPr>
          <w:b w:val="0"/>
          <w:i/>
        </w:rPr>
        <w:br/>
        <w:t xml:space="preserve">      Hà nội, ngày 14 tháng 12 năm 2018</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57/2018/TT-BGTVT</w:t>
        <w:br/>
        <w:t xml:space="preserve">     </w:t>
      </w:r>
      <w:r>
        <w:rPr>
          <w:b w:val="0"/>
          <w:i w:val="0"/>
        </w:rPr>
        <w:br/>
      </w:r>
      <w:r>
        <w:rPr>
          <w:b w:val="0"/>
          <w:i/>
        </w:rPr>
        <w:br/>
        <w:t xml:space="preserve">      Hà nội, ngày 14 tháng 12 năm 2018</w:t>
        <w:br/>
        <w:t xml:space="preserve">     </w:t>
      </w:r>
      <w:r>
        <w:rPr>
          <w:b w:val="0"/>
          <w:i w:val="0"/>
        </w:rPr>
        <w:br/>
      </w:r>
    </w:p>
    <w:p>
      <w:pPr>
        <w:jc w:val="center"/>
      </w:pPr>
      <w:r>
        <w:rPr>
          <w:b w:val="0"/>
          <w:i w:val="0"/>
        </w:rPr>
        <w:br/>
        <w:t xml:space="preserve">      Số: 57/2018/TT-BGTVT</w:t>
        <w:br/>
        <w:t xml:space="preserve">     </w:t>
      </w:r>
    </w:p>
    <w:p>
      <w:pPr>
        <w:jc w:val="center"/>
      </w:pPr>
      <w:r>
        <w:rPr>
          <w:b w:val="0"/>
          <w:i w:val="0"/>
        </w:rPr>
        <w:br/>
        <w:t xml:space="preserve">      Hà nội, ngày 14 tháng 12 năm 2018</w:t>
        <w:br/>
        <w:t xml:space="preserve">     </w:t>
      </w:r>
    </w:p>
    <w:p>
      <w:r>
        <w:rPr>
          <w:b/>
          <w:i w:val="0"/>
        </w:rPr>
        <w:t>THÔNG TƯ</w:t>
      </w:r>
    </w:p>
    <w:p>
      <w:r>
        <w:rPr>
          <w:b/>
          <w:i w:val="0"/>
        </w:rPr>
        <w:t>Cô</w:t>
      </w:r>
      <w:r>
        <w:rPr>
          <w:b/>
          <w:i w:val="0"/>
        </w:rPr>
        <w:t>ng b</w:t>
      </w:r>
      <w:r>
        <w:rPr>
          <w:b/>
          <w:i w:val="0"/>
        </w:rPr>
        <w:t xml:space="preserve">ố </w:t>
      </w:r>
      <w:r>
        <w:rPr>
          <w:b/>
          <w:i w:val="0"/>
        </w:rPr>
        <w:t>vùng nước c</w:t>
      </w:r>
      <w:r>
        <w:rPr>
          <w:b/>
          <w:i w:val="0"/>
        </w:rPr>
        <w:t>ả</w:t>
      </w:r>
      <w:r>
        <w:rPr>
          <w:b/>
          <w:i w:val="0"/>
        </w:rPr>
        <w:t>ng bi</w:t>
      </w:r>
      <w:r>
        <w:rPr>
          <w:b/>
          <w:i w:val="0"/>
        </w:rPr>
        <w:t>ể</w:t>
      </w:r>
      <w:r>
        <w:rPr>
          <w:b/>
          <w:i w:val="0"/>
        </w:rPr>
        <w:t>n thuộc địa phận t</w:t>
      </w:r>
      <w:r>
        <w:rPr>
          <w:b/>
          <w:i w:val="0"/>
        </w:rPr>
        <w:t>ỉ</w:t>
      </w:r>
      <w:r>
        <w:rPr>
          <w:b/>
          <w:i w:val="0"/>
        </w:rPr>
        <w:t>nh Quảng Trị và khu vực qu</w:t>
      </w:r>
      <w:r>
        <w:rPr>
          <w:b/>
          <w:i w:val="0"/>
        </w:rPr>
        <w:t>ả</w:t>
      </w:r>
      <w:r>
        <w:rPr>
          <w:b/>
          <w:i w:val="0"/>
        </w:rPr>
        <w:t xml:space="preserve">n </w:t>
      </w:r>
      <w:r>
        <w:rPr>
          <w:b/>
          <w:i w:val="0"/>
        </w:rPr>
        <w:t xml:space="preserve">lý </w:t>
      </w:r>
      <w:r>
        <w:rPr>
          <w:b/>
          <w:i w:val="0"/>
        </w:rPr>
        <w:t>của Cảng v</w:t>
      </w:r>
      <w:r>
        <w:rPr>
          <w:b/>
          <w:i w:val="0"/>
        </w:rPr>
        <w:t xml:space="preserve">ụ </w:t>
      </w:r>
      <w:r>
        <w:rPr>
          <w:b/>
          <w:i w:val="0"/>
        </w:rPr>
        <w:t>Hàng hải Qu</w:t>
      </w:r>
      <w:r>
        <w:rPr>
          <w:b/>
          <w:i w:val="0"/>
        </w:rPr>
        <w:t>ả</w:t>
      </w:r>
      <w:r>
        <w:rPr>
          <w:b/>
          <w:i w:val="0"/>
        </w:rPr>
        <w:t>ng Trị</w:t>
      </w:r>
      <w:r>
        <w:rPr>
          <w:b w:val="0"/>
          <w:i w:val="0"/>
        </w:rPr>
        <w:t xml:space="preserve"> </w:t>
      </w:r>
    </w:p>
    <w:p>
      <w:r>
        <w:rPr>
          <w:b w:val="0"/>
          <w:i/>
        </w:rPr>
        <w:t xml:space="preserve">Căn cứ Bộ luật Hàng hải </w:t>
      </w:r>
      <w:r>
        <w:rPr>
          <w:b w:val="0"/>
          <w:i/>
        </w:rPr>
        <w:t xml:space="preserve">Việt Nam ngày 25 tháng </w:t>
      </w:r>
      <w:r>
        <w:rPr>
          <w:b w:val="0"/>
          <w:i/>
        </w:rPr>
        <w:t>11 năm</w:t>
      </w:r>
      <w:r>
        <w:rPr>
          <w:b w:val="0"/>
          <w:i/>
        </w:rPr>
        <w:t xml:space="preserve"> 201</w:t>
      </w:r>
      <w:r>
        <w:rPr>
          <w:b w:val="0"/>
          <w:i/>
        </w:rPr>
        <w:t>8</w:t>
      </w:r>
      <w:r>
        <w:rPr>
          <w:b w:val="0"/>
          <w:i/>
        </w:rPr>
        <w:t>;</w:t>
      </w:r>
    </w:p>
    <w:p>
      <w:r>
        <w:rPr>
          <w:b w:val="0"/>
          <w:i/>
        </w:rPr>
        <w:t>C</w:t>
      </w:r>
      <w:r>
        <w:rPr>
          <w:b w:val="0"/>
          <w:i/>
        </w:rPr>
        <w:t xml:space="preserve">ăn cứ </w:t>
      </w:r>
      <w:r>
        <w:rPr>
          <w:b w:val="0"/>
          <w:i/>
        </w:rPr>
        <w:t xml:space="preserve">Nghị định số </w:t>
      </w:r>
      <w:r>
        <w:rPr>
          <w:b w:val="0"/>
          <w:i/>
        </w:rPr>
        <w:t>1</w:t>
      </w:r>
      <w:r>
        <w:rPr>
          <w:b w:val="0"/>
          <w:i/>
        </w:rPr>
        <w:t>2/2</w:t>
      </w:r>
      <w:r>
        <w:rPr>
          <w:b w:val="0"/>
          <w:i/>
        </w:rPr>
        <w:t>01</w:t>
      </w:r>
      <w:r>
        <w:rPr>
          <w:b w:val="0"/>
          <w:i/>
        </w:rPr>
        <w:t xml:space="preserve">7/NĐ-CP </w:t>
      </w:r>
      <w:r>
        <w:rPr>
          <w:b w:val="0"/>
          <w:i/>
        </w:rPr>
        <w:t xml:space="preserve">ngày 10 </w:t>
      </w:r>
      <w:r>
        <w:rPr>
          <w:b w:val="0"/>
          <w:i/>
        </w:rPr>
        <w:t xml:space="preserve">tháng 02 năm 2017 của Chính phủ quy định chức năng nhiệm </w:t>
      </w:r>
      <w:r>
        <w:rPr>
          <w:b w:val="0"/>
          <w:i/>
        </w:rPr>
        <w:t>vụ</w:t>
      </w:r>
      <w:r>
        <w:rPr>
          <w:b w:val="0"/>
          <w:i/>
        </w:rPr>
        <w:t xml:space="preserve">, </w:t>
      </w:r>
      <w:r>
        <w:rPr>
          <w:b w:val="0"/>
          <w:i/>
        </w:rPr>
        <w:t xml:space="preserve">quyền hạn và </w:t>
      </w:r>
      <w:r>
        <w:rPr>
          <w:b w:val="0"/>
          <w:i/>
        </w:rPr>
        <w:t xml:space="preserve">cơ cấu </w:t>
      </w:r>
      <w:r>
        <w:rPr>
          <w:b w:val="0"/>
          <w:i/>
        </w:rPr>
        <w:t xml:space="preserve">tổ chức </w:t>
      </w:r>
      <w:r>
        <w:rPr>
          <w:b w:val="0"/>
          <w:i/>
        </w:rPr>
        <w:t>của Bộ Giao thông vậ</w:t>
      </w:r>
      <w:r>
        <w:rPr>
          <w:b w:val="0"/>
          <w:i/>
        </w:rPr>
        <w:t xml:space="preserve">n </w:t>
      </w:r>
      <w:r>
        <w:rPr>
          <w:b w:val="0"/>
          <w:i/>
        </w:rPr>
        <w:t>tải;</w:t>
      </w:r>
    </w:p>
    <w:p>
      <w:r>
        <w:rPr>
          <w:b w:val="0"/>
          <w:i/>
        </w:rPr>
        <w:t>Căn cứ Nghị định số 58/2</w:t>
      </w:r>
      <w:r>
        <w:rPr>
          <w:b w:val="0"/>
          <w:i/>
        </w:rPr>
        <w:t>01</w:t>
      </w:r>
      <w:r>
        <w:rPr>
          <w:b w:val="0"/>
          <w:i/>
        </w:rPr>
        <w:t>7/NĐ-CP ng</w:t>
      </w:r>
      <w:r>
        <w:rPr>
          <w:b w:val="0"/>
          <w:i/>
        </w:rPr>
        <w:t>à</w:t>
      </w:r>
      <w:r>
        <w:rPr>
          <w:b w:val="0"/>
          <w:i/>
        </w:rPr>
        <w:t>y 10 tháng 5 năm 2017 của Chí</w:t>
      </w:r>
      <w:r>
        <w:rPr>
          <w:b w:val="0"/>
          <w:i/>
        </w:rPr>
        <w:t>n</w:t>
      </w:r>
      <w:r>
        <w:rPr>
          <w:b w:val="0"/>
          <w:i/>
        </w:rPr>
        <w:t xml:space="preserve">h phủ quy định </w:t>
      </w:r>
      <w:r>
        <w:rPr>
          <w:b w:val="0"/>
          <w:i/>
        </w:rPr>
        <w:t xml:space="preserve">chi tiết </w:t>
      </w:r>
      <w:r>
        <w:rPr>
          <w:b w:val="0"/>
          <w:i/>
        </w:rPr>
        <w:t xml:space="preserve">một số điều của Bộ </w:t>
      </w:r>
      <w:r>
        <w:rPr>
          <w:b w:val="0"/>
          <w:i/>
        </w:rPr>
        <w:t>l</w:t>
      </w:r>
      <w:r>
        <w:rPr>
          <w:b w:val="0"/>
          <w:i/>
        </w:rPr>
        <w:t xml:space="preserve">uật Hàng hải Việt Nam về </w:t>
      </w:r>
      <w:r>
        <w:rPr>
          <w:b w:val="0"/>
          <w:i/>
        </w:rPr>
        <w:t xml:space="preserve">quản lý </w:t>
      </w:r>
      <w:r>
        <w:rPr>
          <w:b w:val="0"/>
          <w:i/>
        </w:rPr>
        <w:t>hoạt động hảng hải</w:t>
      </w:r>
      <w:r>
        <w:rPr>
          <w:b w:val="0"/>
          <w:i/>
        </w:rPr>
        <w:t>;</w:t>
      </w:r>
    </w:p>
    <w:p>
      <w:r>
        <w:rPr>
          <w:b w:val="0"/>
          <w:i/>
        </w:rPr>
        <w:t>Theo đ</w:t>
      </w:r>
      <w:r>
        <w:rPr>
          <w:b w:val="0"/>
          <w:i/>
        </w:rPr>
        <w:t xml:space="preserve">ề </w:t>
      </w:r>
      <w:r>
        <w:rPr>
          <w:b w:val="0"/>
          <w:i/>
        </w:rPr>
        <w:t>nghị của Vụ trưởng Vụ Pháp ch</w:t>
      </w:r>
      <w:r>
        <w:rPr>
          <w:b w:val="0"/>
          <w:i/>
        </w:rPr>
        <w:t xml:space="preserve">ế </w:t>
      </w:r>
      <w:r>
        <w:rPr>
          <w:b w:val="0"/>
          <w:i/>
        </w:rPr>
        <w:t>và Cục trư</w:t>
      </w:r>
      <w:r>
        <w:rPr>
          <w:b w:val="0"/>
          <w:i/>
        </w:rPr>
        <w:t>ở</w:t>
      </w:r>
      <w:r>
        <w:rPr>
          <w:b w:val="0"/>
          <w:i/>
        </w:rPr>
        <w:t>ng Cục Hàng hải Việt Nam;</w:t>
      </w:r>
    </w:p>
    <w:p>
      <w:r>
        <w:rPr>
          <w:b w:val="0"/>
          <w:i/>
        </w:rPr>
        <w:t>B</w:t>
      </w:r>
      <w:r>
        <w:rPr>
          <w:b w:val="0"/>
          <w:i/>
        </w:rPr>
        <w:t xml:space="preserve">ộ </w:t>
      </w:r>
      <w:r>
        <w:rPr>
          <w:b w:val="0"/>
          <w:i/>
        </w:rPr>
        <w:t>trưởng Bộ Giao th</w:t>
      </w:r>
      <w:r>
        <w:rPr>
          <w:b w:val="0"/>
          <w:i/>
        </w:rPr>
        <w:t>ô</w:t>
      </w:r>
      <w:r>
        <w:rPr>
          <w:b w:val="0"/>
          <w:i/>
        </w:rPr>
        <w:t>ng vận t</w:t>
      </w:r>
      <w:r>
        <w:rPr>
          <w:b w:val="0"/>
          <w:i/>
        </w:rPr>
        <w:t>ả</w:t>
      </w:r>
      <w:r>
        <w:rPr>
          <w:b w:val="0"/>
          <w:i/>
        </w:rPr>
        <w:t>i ban hành Thông tư c</w:t>
      </w:r>
      <w:r>
        <w:rPr>
          <w:b w:val="0"/>
          <w:i/>
        </w:rPr>
        <w:t>ô</w:t>
      </w:r>
      <w:r>
        <w:rPr>
          <w:b w:val="0"/>
          <w:i/>
        </w:rPr>
        <w:t>ng b</w:t>
      </w:r>
      <w:r>
        <w:rPr>
          <w:b w:val="0"/>
          <w:i/>
        </w:rPr>
        <w:t xml:space="preserve">ố </w:t>
      </w:r>
      <w:r>
        <w:rPr>
          <w:b w:val="0"/>
          <w:i/>
        </w:rPr>
        <w:t>vùng nước c</w:t>
      </w:r>
      <w:r>
        <w:rPr>
          <w:b w:val="0"/>
          <w:i/>
        </w:rPr>
        <w:t>ả</w:t>
      </w:r>
      <w:r>
        <w:rPr>
          <w:b w:val="0"/>
          <w:i/>
        </w:rPr>
        <w:t>ng bi</w:t>
      </w:r>
      <w:r>
        <w:rPr>
          <w:b w:val="0"/>
          <w:i/>
        </w:rPr>
        <w:t>ể</w:t>
      </w:r>
      <w:r>
        <w:rPr>
          <w:b w:val="0"/>
          <w:i/>
        </w:rPr>
        <w:t>n thuộc địa phận t</w:t>
      </w:r>
      <w:r>
        <w:rPr>
          <w:b w:val="0"/>
          <w:i/>
        </w:rPr>
        <w:t>ỉ</w:t>
      </w:r>
      <w:r>
        <w:rPr>
          <w:b w:val="0"/>
          <w:i/>
        </w:rPr>
        <w:t>nh Quảng Trị và khu vực qu</w:t>
      </w:r>
      <w:r>
        <w:rPr>
          <w:b w:val="0"/>
          <w:i/>
        </w:rPr>
        <w:t>ả</w:t>
      </w:r>
      <w:r>
        <w:rPr>
          <w:b w:val="0"/>
          <w:i/>
        </w:rPr>
        <w:t xml:space="preserve">n </w:t>
      </w:r>
      <w:r>
        <w:rPr>
          <w:b w:val="0"/>
          <w:i/>
        </w:rPr>
        <w:t xml:space="preserve">lý </w:t>
      </w:r>
      <w:r>
        <w:rPr>
          <w:b w:val="0"/>
          <w:i/>
        </w:rPr>
        <w:t>của Cảng v</w:t>
      </w:r>
      <w:r>
        <w:rPr>
          <w:b w:val="0"/>
          <w:i/>
        </w:rPr>
        <w:t xml:space="preserve">ụ </w:t>
      </w:r>
      <w:r>
        <w:rPr>
          <w:b w:val="0"/>
          <w:i/>
        </w:rPr>
        <w:t>Hàng hải Qu</w:t>
      </w:r>
      <w:r>
        <w:rPr>
          <w:b w:val="0"/>
          <w:i/>
        </w:rPr>
        <w:t>ả</w:t>
      </w:r>
      <w:r>
        <w:rPr>
          <w:b w:val="0"/>
          <w:i/>
        </w:rPr>
        <w:t>ng Trị.</w:t>
      </w:r>
    </w:p>
    <w:p>
      <w:r>
        <w:rPr>
          <w:b/>
          <w:i w:val="0"/>
        </w:rPr>
        <w:t>Điều 1. Công bố vùng nước cảng biển thuộc địa phận tỉnh Quảng Trị</w:t>
      </w:r>
    </w:p>
    <w:p>
      <w:r>
        <w:rPr>
          <w:b w:val="0"/>
          <w:i w:val="0"/>
        </w:rPr>
        <w:t>Vùng nước cảng biển Quảng Trị thuộc địa phận tỉnh Quảng Trị là vùng nước cảng biển tại khu vực Cửa Việt</w:t>
      </w:r>
    </w:p>
    <w:p>
      <w:r>
        <w:rPr>
          <w:b/>
          <w:i w:val="0"/>
        </w:rPr>
        <w:t>Điều 2. Phạm vi vùng nước cảng biển thuộc địa phận tỉnh Quảng Trị</w:t>
      </w:r>
    </w:p>
    <w:p>
      <w:r>
        <w:rPr>
          <w:b w:val="0"/>
          <w:i w:val="0"/>
        </w:rPr>
        <w:t>1. Phạm vi vùng nước cảng biển Quảng Trị thuộc địa phận tỉnh Quảng Trị tính theo mực nước thủy triều lớn nhất, được xác định cụ thể như sau:</w:t>
      </w:r>
    </w:p>
    <w:p>
      <w:r>
        <w:rPr>
          <w:b w:val="0"/>
          <w:i w:val="0"/>
        </w:rPr>
        <w:t>a) Ranh giới về phía biển: được giới hạn bởi các đoạn thẳng nối lần lượt các điểm CV2, CV3, CV4, CV5 và CV6 có các tọa độ sau đây:</w:t>
      </w:r>
    </w:p>
    <w:p>
      <w:r>
        <w:rPr>
          <w:b w:val="0"/>
          <w:i w:val="0"/>
        </w:rPr>
        <w:t>CV2: 16º54'58" N, 107º11'06" E;</w:t>
      </w:r>
    </w:p>
    <w:p>
      <w:r>
        <w:rPr>
          <w:b w:val="0"/>
          <w:i w:val="0"/>
        </w:rPr>
        <w:t>CV3: 16º56'21" N, 107º11'06" E;</w:t>
      </w:r>
    </w:p>
    <w:p>
      <w:r>
        <w:rPr>
          <w:b w:val="0"/>
          <w:i w:val="0"/>
        </w:rPr>
        <w:t>CV4: 16º56'21" N, 107º14'00" E;</w:t>
      </w:r>
    </w:p>
    <w:p>
      <w:r>
        <w:rPr>
          <w:b w:val="0"/>
          <w:i w:val="0"/>
        </w:rPr>
        <w:t>CV5: 16º53'36" N, 107º14'00" E;</w:t>
      </w:r>
    </w:p>
    <w:p>
      <w:r>
        <w:rPr>
          <w:b w:val="0"/>
          <w:i w:val="0"/>
        </w:rPr>
        <w:t>CV6: 16º53'36" N, 107º12'29" E;</w:t>
      </w:r>
    </w:p>
    <w:p>
      <w:r>
        <w:rPr>
          <w:b w:val="0"/>
          <w:i w:val="0"/>
        </w:rPr>
        <w:t>b) Ranh giới về phía đất liền khu vực sông Thạch Hãn: là vùng nước được giới hạn bởi đoạn thẳng nối điểm CV1 có tọa độ: 16°54'15" N, 107°11'05" E với điểm CV7 có tọa độ: 16°53'58"N, 107°11'17"E, cách cầu đường bộ Cửa Việt về phía hạ lưu 150m, từ điểm CV1 chạy dọc theo bờ sông Thạch Hãn và đường bờ biển ra đến điểm CV2; từ điểm CV7 chạy dọc theo bờ sông Thạch Hãn và đường bờ biển ra đến điểm CV6.</w:t>
      </w:r>
    </w:p>
    <w:p>
      <w:r>
        <w:rPr>
          <w:b w:val="0"/>
          <w:i w:val="0"/>
        </w:rPr>
        <w:t>2. Ranh giới vùng nước cảng biển quy định tại Thông tư này được xác định trên Bản đồ số BDQTR01 xuất bản ngày 09 tháng 9 năm 2016, tỷ lệ 1: 10.000 của Tổng Công ty Bảo đảm an toàn hàng hải miền Bắc. Tọa độ các điểm quy định tại Thông tư này được áp dụng theo Hệ tọa độ WGS-84 và được chuyển đổi sang Hệ tọa độ VN-2000 tại Phụ lục ban hành kèm theo Thông tư này.</w:t>
      </w:r>
    </w:p>
    <w:p>
      <w:r>
        <w:rPr>
          <w:b/>
          <w:i w:val="0"/>
        </w:rPr>
        <w:t>Điều 3. Vùng đón trả hoa tiêu, vùng kiểm dịch, khu neo đậu, khu chuyển tải, khu tránh bão và các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cảng biển Quảng Trị và khu nước, vùng nước khác theo quy định.</w:t>
      </w:r>
    </w:p>
    <w:p>
      <w:r>
        <w:rPr>
          <w:b/>
          <w:i w:val="0"/>
        </w:rPr>
        <w:t>Điều 4. Trách nhiệm của Cảng vụ Hàng hải Quảng Trị</w:t>
      </w:r>
    </w:p>
    <w:p>
      <w:r>
        <w:rPr>
          <w:b w:val="0"/>
          <w:i w:val="0"/>
        </w:rPr>
        <w:t>1. Thực hiện nhiệm vụ và quyền hạn theo quy định của Bộ luật Hàng hải Việt Nam và các văn bản quy phạm pháp luật có liên quan đối với hoạt động hàng hải tại cảng biển và vùng nước cảng biển thuộc địa phận tỉnh Quảng Trị.</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Điều 5. Trách nhiệm quản lý nhà nước về hàng hải trong vùng biển thuộc địa phận tỉnh Quảng Trị</w:t>
      </w:r>
    </w:p>
    <w:p>
      <w:r>
        <w:rPr>
          <w:b w:val="0"/>
          <w:i w:val="0"/>
        </w:rPr>
        <w:t>Ngoài phạm vi vùng nước quy định tại Điều 2 Thông tư này, Cảng vụ Hàng hải Quảng Trị còn có trách nhiệm quản lý nhà nước về an toàn hàng hải, an ninh hàng hải và phòng ngừa ô nhiễm môi trường trong vùng biển thuộc địa phận tỉnh Quảng Trị.</w:t>
      </w:r>
    </w:p>
    <w:p>
      <w:r>
        <w:rPr>
          <w:b/>
          <w:i w:val="0"/>
        </w:rPr>
        <w:t>Điều 6. Hiệu lực thi hành</w:t>
      </w:r>
    </w:p>
    <w:p>
      <w:r>
        <w:rPr>
          <w:b w:val="0"/>
          <w:i w:val="0"/>
        </w:rPr>
        <w:t>Thông tư này có hiệu lực kể từ ngày 01 tháng 02 năm 2019. Bãi bỏ Quyết định số 08/2007/QĐ-GTVT ngày 23 tháng 02 năm 2007 của Bộ trưởng Bộ Giao thông vận tải công bố vùng nước cảng biển thuộc địa phận tỉnh Quảng Trị và khu vực quản lý của Cảng vụ Hàng hải Quảng Trị.</w:t>
      </w:r>
    </w:p>
    <w:p>
      <w:r>
        <w:rPr>
          <w:b/>
          <w:i w:val="0"/>
        </w:rPr>
        <w:t>Điều 7. Tổ chức thực hiện</w:t>
      </w:r>
    </w:p>
    <w:p>
      <w:r>
        <w:rPr>
          <w:b w:val="0"/>
          <w:i w:val="0"/>
        </w:rPr>
        <w:t>Chánh Văn phòng Bộ, Chánh Thanh tra Bộ, các Vụ trưởng, Cục trưởng Cục Hàng hải Việt Nam, Cục trưởng Cục Đường thủy nội địa Việt Nam, Giám đốc Sở Giao thông vận tải Quảng Trị, Giám đốc Cảng vụ Hảng hải Quảng Trị, Thủ trưởng các cơ quan, tổ chức và cá nhân có liên quan chịu trách nhiệm thi hành Thông tư này./.</w:t>
      </w:r>
    </w:p>
    <w:p>
      <w:r>
        <w:rPr>
          <w:b w:val="0"/>
          <w:i w:val="0"/>
        </w:rPr>
        <w:br/>
      </w:r>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w:t>
        <w:br/>
        <w:t xml:space="preserve">     </w:t>
      </w:r>
    </w:p>
    <w:p>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