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58/2005/QĐ-BTC Về giá định hướng bán xăng, dầu năm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i w:val="0"/>
        </w:rPr>
        <w:t>Về giá định hướng bán xăng, dầu năm 2005</w:t>
      </w:r>
    </w:p>
    <w:p>
      <w:pPr>
        <w:jc w:val="center"/>
      </w:pPr>
      <w:r>
        <w:rPr>
          <w:b/>
          <w:i w:val="0"/>
        </w:rPr>
        <w:t>BỘ TRƯỞNG BỘ TÀI CHÍNH</w:t>
      </w:r>
    </w:p>
    <w:p>
      <w:pPr>
        <w:jc w:val="both"/>
      </w:pPr>
      <w:r>
        <w:rPr>
          <w:b w:val="0"/>
          <w:i w:val="0"/>
        </w:rPr>
        <w:t>Căn cứ Nghị định số 77/2003/NĐ-CP ngày 01/7/2003 của Chính phủ Quy định chức năng, nhiệm vụ, quyền hạn và cơ cấu tổ chức của Bộ Tài chính;</w:t>
      </w:r>
    </w:p>
    <w:p>
      <w:pPr>
        <w:jc w:val="both"/>
      </w:pPr>
      <w:r>
        <w:rPr>
          <w:b w:val="0"/>
          <w:i w:val="0"/>
        </w:rPr>
        <w:t>Căn cứ Nghị định số 170/2003/NĐ-CP ngày 25/12/2003 của Chính phủ quy định chi tiết thi hành một số điều của Pháp lệnh Giá;</w:t>
      </w:r>
    </w:p>
    <w:p>
      <w:pPr>
        <w:jc w:val="both"/>
      </w:pPr>
      <w:r>
        <w:rPr>
          <w:b w:val="0"/>
          <w:i w:val="0"/>
        </w:rPr>
        <w:t>Căn cứ Quyết định số 187/2003/QĐ-TTg ngày 15/9/2003 của Thủ tướng Chính phủ về việc ban hành quy chế quản lý kinh doanh xăng, dầu;</w:t>
      </w:r>
    </w:p>
    <w:p>
      <w:pPr>
        <w:jc w:val="both"/>
      </w:pPr>
      <w:r>
        <w:rPr>
          <w:b w:val="0"/>
          <w:i w:val="0"/>
        </w:rPr>
        <w:t>Thực hiện chỉ đạo của Thủ tướng Chính phủ tại công văn số 594/VPCP-KTTH ngày 17/8/2005 của Văn phòng Chính phủ thông báo ý kiến của Thủ tướng Chính phủ về việc điều chỉnh giá xăng, dầu;</w:t>
      </w:r>
    </w:p>
    <w:p>
      <w:pPr>
        <w:jc w:val="both"/>
      </w:pPr>
      <w:r>
        <w:rPr>
          <w:b w:val="0"/>
          <w:i w:val="0"/>
        </w:rPr>
        <w:t>Sau khi thống nhất với Bộ Thương mại, Bộ Kế hoạch và Đầu tư,</w:t>
      </w:r>
    </w:p>
    <w:p>
      <w:pPr>
        <w:jc w:val="center"/>
      </w:pPr>
      <w:r>
        <w:rPr>
          <w:b/>
          <w:i w:val="0"/>
        </w:rPr>
        <w:t>QUYẾT ĐỊNH:</w:t>
      </w:r>
    </w:p>
    <w:p>
      <w:pPr>
        <w:jc w:val="both"/>
      </w:pPr>
      <w:r>
        <w:rPr>
          <w:b/>
          <w:i w:val="0"/>
        </w:rPr>
        <w:t xml:space="preserve"> </w:t>
      </w:r>
      <w:r>
        <w:rPr>
          <w:b/>
          <w:i w:val="0"/>
        </w:rPr>
        <w:t>Điều 1.</w:t>
      </w:r>
      <w:r>
        <w:rPr>
          <w:b/>
          <w:i w:val="0"/>
        </w:rPr>
        <w:t xml:space="preserve"> </w:t>
      </w:r>
      <w:r>
        <w:rPr>
          <w:b/>
          <w:i/>
        </w:rPr>
        <w:t>Giá định hướng</w:t>
      </w:r>
      <w:r>
        <w:rPr>
          <w:b/>
          <w:i w:val="0"/>
        </w:rPr>
        <w:t xml:space="preserve"> </w:t>
      </w:r>
      <w:r>
        <w:rPr>
          <w:b w:val="0"/>
          <w:i w:val="0"/>
        </w:rPr>
        <w:t>(đã bao gồm thuế giá trị gia tăng) bán xăng, dầu của một số chủng loại chuẩn ở nhiệt độ thực tế được quy định thống nhất trong cả nước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Chủng loại</w:t>
            </w:r>
          </w:p>
        </w:tc>
        <w:tc>
          <w:tcPr>
            <w:tcW w:type="dxa" w:w="2880"/>
          </w:tcPr>
          <w:p>
            <w:r>
              <w:rPr>
                <w:b w:val="0"/>
                <w:i w:val="0"/>
              </w:rPr>
              <w:br/>
            </w:r>
            <w:r>
              <w:rPr>
                <w:b w:val="0"/>
                <w:i w:val="0"/>
              </w:rPr>
              <w:t>Giá bán buôn định hướng (đồng/ki lô gam)</w:t>
            </w:r>
          </w:p>
        </w:tc>
        <w:tc>
          <w:tcPr>
            <w:tcW w:type="dxa" w:w="2880"/>
          </w:tcPr>
          <w:p>
            <w:r>
              <w:rPr>
                <w:b w:val="0"/>
                <w:i w:val="0"/>
              </w:rPr>
              <w:br/>
            </w:r>
            <w:r>
              <w:rPr>
                <w:b w:val="0"/>
                <w:i w:val="0"/>
              </w:rPr>
              <w:t>Giá bán lẻ định hướng</w:t>
            </w:r>
            <w:r>
              <w:rPr>
                <w:b w:val="0"/>
                <w:i w:val="0"/>
              </w:rPr>
              <w:br/>
            </w:r>
            <w:r>
              <w:rPr>
                <w:b w:val="0"/>
                <w:i w:val="0"/>
              </w:rPr>
              <w:t>(đồng/lít)</w:t>
            </w:r>
          </w:p>
        </w:tc>
      </w:tr>
    </w:tbl>
    <w:p>
      <w:pPr>
        <w:jc w:val="both"/>
      </w:pPr>
      <w:r>
        <w:rPr>
          <w:b w:val="0"/>
          <w:i w:val="0"/>
        </w:rPr>
        <w:t>Mức giá bán xăng, dầu thực tế do các doanh nghiệp kinh doanh nhập khẩu xăng dầu (hoặc uỷ quyền cho các đơn vị trực thuộc, đại lý thuộc hệ thống phân phối của mình) quy định theo hướng dẫn hiện hành của Bộ Thương mại.</w:t>
      </w:r>
    </w:p>
    <w:p>
      <w:pPr>
        <w:jc w:val="both"/>
      </w:pPr>
      <w:r>
        <w:rPr>
          <w:b w:val="0"/>
          <w:i w:val="0"/>
        </w:rPr>
        <w:t>Giá các loại xăng, dầu khác do các doanh nghiệp kinh doanh xăng, dầu quy định căn cứ vào giá bán thực tế của các loại xăng, dầu chuẩn trên cùng thị trường và chênh lệch chất lượng so với các loại xăng, dầu nêu trên.</w:t>
      </w:r>
    </w:p>
    <w:p>
      <w:pPr>
        <w:jc w:val="both"/>
      </w:pPr>
      <w:r>
        <w:rPr>
          <w:b/>
          <w:i w:val="0"/>
        </w:rPr>
        <w:t>Điều 2.</w:t>
      </w:r>
      <w:r>
        <w:rPr>
          <w:b/>
          <w:i w:val="0"/>
        </w:rPr>
        <w:t xml:space="preserve"> </w:t>
      </w:r>
      <w:r>
        <w:rPr>
          <w:b/>
          <w:i/>
        </w:rPr>
        <w:t>Địa điểm bán hàng</w:t>
      </w:r>
      <w:r>
        <w:rPr>
          <w:b/>
          <w:i w:val="0"/>
        </w:rPr>
        <w:t>:</w:t>
      </w:r>
    </w:p>
    <w:p>
      <w:pPr>
        <w:jc w:val="both"/>
      </w:pPr>
      <w:r>
        <w:rPr>
          <w:b w:val="0"/>
          <w:i w:val="0"/>
        </w:rPr>
        <w:t>-Bán buôn: hàng được giao tại kho trung tâm tỉnh, thành phố trên phương tiện bên mua;</w:t>
      </w:r>
    </w:p>
    <w:p>
      <w:pPr>
        <w:jc w:val="both"/>
      </w:pPr>
      <w:r>
        <w:rPr>
          <w:b w:val="0"/>
          <w:i w:val="0"/>
        </w:rPr>
        <w:t>-Bán lẻ: hàng được bán tại cây xăng và cửa hàng bán lẻ ở các tỉnh, thành phố trên phương tiện bên mua.</w:t>
      </w:r>
    </w:p>
    <w:p>
      <w:pPr>
        <w:jc w:val="both"/>
      </w:pPr>
      <w:r>
        <w:rPr>
          <w:b/>
          <w:i w:val="0"/>
        </w:rPr>
        <w:t xml:space="preserve"> </w:t>
      </w:r>
      <w:r>
        <w:rPr>
          <w:b/>
          <w:i w:val="0"/>
        </w:rPr>
        <w:t>Điều 3.</w:t>
      </w:r>
      <w:r>
        <w:rPr>
          <w:b/>
          <w:i w:val="0"/>
        </w:rPr>
        <w:t xml:space="preserve"> </w:t>
      </w:r>
      <w:r>
        <w:rPr>
          <w:b/>
          <w:i/>
        </w:rPr>
        <w:t>Trách nhiệm của các Bộ, ngành, địa phương và các đơn vị sản xuất, kinh doanh</w:t>
      </w:r>
      <w:r>
        <w:rPr>
          <w:b/>
          <w:i w:val="0"/>
        </w:rPr>
        <w:t xml:space="preserve">: </w:t>
      </w:r>
    </w:p>
    <w:p>
      <w:pPr>
        <w:jc w:val="both"/>
      </w:pPr>
      <w:r>
        <w:rPr>
          <w:b w:val="0"/>
          <w:i w:val="0"/>
        </w:rPr>
        <w:t>- Theo chỉ đạo của Thủ tướng Chính phủ mặc dù giá bán xăng, dầu được điều chỉnh tăng, nhưng các sản phẩm chủ đạo: điện, than, xi măng,... không được tăng giá bán ra, các doanh nghiệp phải tiết kiệm chi phí, nhất là chi phí xăng, dầu, hạ giá thành. Các đơn vị kinh doanh xăng, dầu phải tiếp tục giảm 5% chi phí quản lý doanh nghiệp so với năm 2004.</w:t>
      </w:r>
    </w:p>
    <w:p>
      <w:pPr>
        <w:jc w:val="both"/>
      </w:pPr>
      <w:r>
        <w:rPr>
          <w:b w:val="0"/>
          <w:i w:val="0"/>
        </w:rPr>
        <w:t>- Bộ Thương mại chịu trách nhiệm chỉ đạo các doanh nghiệp kinh doanh xăng, dầu kiểm kê hàng theo quy định hiện hành khi điều chỉnh giá đảm bảo không xảy ra tiêu cực và hoạt động kinh doanh bán hàng thông suốt.</w:t>
      </w:r>
    </w:p>
    <w:p>
      <w:pPr>
        <w:jc w:val="both"/>
      </w:pPr>
      <w:r>
        <w:rPr>
          <w:b w:val="0"/>
          <w:i w:val="0"/>
        </w:rPr>
        <w:t>- Các doanh nghiệp kinh doanh nhập khẩu xăng, dầu phải liên đới chịu trách nhiệm trước pháp luật về hành vi vi phạm giá bán xăng, dầu của các đơn vị trực thuộc, đại lý bán lẻ thuộc hệ thống phân phối của doanh nghiệp mình</w:t>
      </w:r>
    </w:p>
    <w:p>
      <w:pPr>
        <w:jc w:val="both"/>
      </w:pPr>
      <w:r>
        <w:rPr>
          <w:b w:val="0"/>
          <w:i w:val="0"/>
        </w:rPr>
        <w:t>- Trường hợp giá cả xăng, dầu trên thị trường thế giới có biến động lớn, Tổng công ty Xăng dầu Việt Nam và các doanh nghiệp khác được Nhà nước giao nhiệm vụ nhập khẩu và kinh doanh xăng, dầu có trách nhiệm điều hoà cung cầu và phải đáp ứng đủ nhu cầu xăng, dầu theo nhiệm vụ được giao.</w:t>
      </w:r>
    </w:p>
    <w:p>
      <w:pPr>
        <w:jc w:val="both"/>
      </w:pPr>
      <w:r>
        <w:rPr>
          <w:b w:val="0"/>
          <w:i w:val="0"/>
        </w:rPr>
        <w:t>- Sở Tài chính các tỉnh, thành phố phối hợp với Sở Thương mại, Chi cục Quản lý thị trường có trách nhiệm kiểm tra tình hình thực hiện giá bán xăng, dầu tại địa phương, kịp thời phát hiện những sai phạm và xử lý trong phạm vi quyền hạn của mình theo các quy định hiện hành hoặc báo cáo các cơ quan có thẩm quyền xử lý.</w:t>
      </w:r>
    </w:p>
    <w:p>
      <w:pPr>
        <w:jc w:val="both"/>
      </w:pPr>
      <w:r>
        <w:rPr>
          <w:b/>
          <w:i w:val="0"/>
        </w:rPr>
        <w:t>Điều 4.</w:t>
      </w:r>
      <w:r>
        <w:rPr>
          <w:b/>
          <w:i w:val="0"/>
        </w:rPr>
        <w:t xml:space="preserve"> </w:t>
      </w:r>
      <w:r>
        <w:rPr>
          <w:b w:val="0"/>
          <w:i w:val="0"/>
        </w:rPr>
        <w:t>Quyết định này có hiệu lực thi hành kể từ  18 giờ 00 ngày  17 tháng 8  năm 2005 và thay thế Quyết định số 39/2005/QĐ-BTC ngày 03/7/2005 của Bộ trưởng Bộ Tài chính.</w:t>
      </w:r>
    </w:p>
    <w:p>
      <w:r>
        <w:rPr>
          <w:b/>
          <w:i w:val="0"/>
        </w:rPr>
        <w:t xml:space="preserve">                                                                                                                      KT.BỘ TRƯỞNG</w:t>
      </w:r>
    </w:p>
    <w:p>
      <w:r>
        <w:rPr>
          <w:b/>
          <w:i w:val="0"/>
        </w:rPr>
        <w:t xml:space="preserve">                                                                                                                      THỨ TRƯỞNG</w:t>
      </w:r>
    </w:p>
    <w:p>
      <w:r>
        <w:rPr>
          <w:b/>
          <w:i w:val="0"/>
        </w:rPr>
        <w:t xml:space="preserve">                                                                                                                             (Đã ký)</w:t>
      </w:r>
    </w:p>
    <w:p>
      <w:r>
        <w:rPr>
          <w:b/>
          <w:i w:val="0"/>
        </w:rPr>
        <w:t xml:space="preserve">                                                                                                                        Trần Văn Tá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