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6032/QĐ-UB-QLĐT Về việc thực hiện quét rác, vận chuyển và xử lý rác vào ban đêm trên toàn thành phố</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6032/QĐ-UB-QLĐT</w:t>
        <w:br/>
        <w:t xml:space="preserve">    </w:t>
      </w:r>
      <w:r>
        <w:rPr>
          <w:b w:val="0"/>
          <w:i w:val="0"/>
        </w:rPr>
        <w:br/>
      </w:r>
      <w:r>
        <w:rPr>
          <w:b w:val="0"/>
          <w:i/>
        </w:rPr>
        <w:br/>
        <w:t xml:space="preserve">     TP. Hồ Chí Minh, ngày 15 tháng 8 năm 1995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6032/QĐ-UB-QLĐT</w:t>
        <w:br/>
        <w:t xml:space="preserve">    </w:t>
      </w:r>
      <w:r>
        <w:rPr>
          <w:b w:val="0"/>
          <w:i w:val="0"/>
        </w:rPr>
        <w:br/>
      </w:r>
      <w:r>
        <w:rPr>
          <w:b w:val="0"/>
          <w:i/>
        </w:rPr>
        <w:br/>
        <w:t xml:space="preserve">     TP. Hồ Chí Minh, ngày 15 tháng 8 năm 1995</w:t>
        <w:br/>
        <w:t xml:space="preserve">    </w:t>
      </w:r>
      <w:r>
        <w:rPr>
          <w:b w:val="0"/>
          <w:i w:val="0"/>
        </w:rPr>
        <w:br/>
      </w:r>
    </w:p>
    <w:p>
      <w:pPr>
        <w:jc w:val="center"/>
      </w:pPr>
      <w:r>
        <w:rPr>
          <w:b w:val="0"/>
          <w:i w:val="0"/>
        </w:rPr>
        <w:br/>
        <w:t xml:space="preserve">     Số: 6032/QĐ-UB-QLĐT</w:t>
        <w:br/>
        <w:t xml:space="preserve">    </w:t>
      </w:r>
    </w:p>
    <w:p>
      <w:pPr>
        <w:jc w:val="center"/>
      </w:pPr>
      <w:r>
        <w:rPr>
          <w:b w:val="0"/>
          <w:i w:val="0"/>
        </w:rPr>
        <w:br/>
        <w:t xml:space="preserve">     TP. Hồ Chí Minh, ngày 15 tháng 8 năm 1995</w:t>
        <w:br/>
        <w:t xml:space="preserve">    </w:t>
      </w:r>
    </w:p>
    <w:p>
      <w:r>
        <w:rPr>
          <w:b/>
          <w:i w:val="0"/>
        </w:rPr>
        <w:t>QUYẾT ĐỊNH CỦA UBND THÀNH PHỐ</w:t>
      </w:r>
    </w:p>
    <w:p>
      <w:r>
        <w:rPr>
          <w:b/>
          <w:i w:val="0"/>
        </w:rPr>
        <w:t>V/v thực hiện quét rác, vận chuyển và xử lý rác vào ban đêm trên toàn thành phố.</w:t>
      </w:r>
    </w:p>
    <w:p>
      <w:r>
        <w:rPr>
          <w:b/>
          <w:i w:val="0"/>
        </w:rPr>
        <w:t>ỦY BAN NHÂN DÂN THÀNH PHỐ HỒ CHÍ MINH</w:t>
      </w:r>
    </w:p>
    <w:p>
      <w:pPr>
        <w:jc w:val="both"/>
      </w:pPr>
      <w:r>
        <w:rPr>
          <w:b w:val="0"/>
          <w:i w:val="0"/>
        </w:rPr>
        <w:t>- Căn cứ Luật tổ chức Hội đồng nhân dân và Ủy ban nhân dân ngày 21 tháng 6 năm 1994;</w:t>
      </w:r>
    </w:p>
    <w:p>
      <w:pPr>
        <w:jc w:val="both"/>
      </w:pPr>
      <w:r>
        <w:rPr>
          <w:b w:val="0"/>
          <w:i w:val="0"/>
        </w:rPr>
        <w:t>- Xét đề nghị của Giám đốc Sở Giao thông công chánh (công văn số 241/CV-KH ngày 02 tháng 8 năm 1995) về việc thực hiện quét rác, vận chuyển và xử lý rác vào ban đêm và đề nghị của Chủ tịch Ủy ban nhân dân quận, huyện;</w:t>
      </w:r>
    </w:p>
    <w:p>
      <w:r>
        <w:rPr>
          <w:b/>
          <w:i w:val="0"/>
        </w:rPr>
        <w:t>QUYẾT ĐỊNH</w:t>
      </w:r>
    </w:p>
    <w:p>
      <w:r>
        <w:rPr>
          <w:b/>
          <w:i w:val="0"/>
        </w:rPr>
        <w:t xml:space="preserve">Điều 1. </w:t>
      </w:r>
      <w:r>
        <w:rPr>
          <w:b w:val="0"/>
          <w:i w:val="0"/>
        </w:rPr>
        <w:t>- Chấp thuận cho Ủy ban nhân dân quận, huyện (các xí nghiệp công trình giao thông đô thị quận, huyện) và Sở giao thông công chánh (công ty Dịch vụ công cộng) thực hiện quét rác, vận chuyển và xử lý rác vào ban đêm trên toàn thành phố.</w:t>
      </w:r>
    </w:p>
    <w:p>
      <w:r>
        <w:rPr>
          <w:b w:val="0"/>
          <w:i w:val="0"/>
        </w:rPr>
        <w:t>Thời gian thực hiện kể từ ngày 1 tháng 9 năm 1995.</w:t>
      </w:r>
    </w:p>
    <w:p>
      <w:r>
        <w:rPr>
          <w:b/>
          <w:i w:val="0"/>
        </w:rPr>
        <w:t xml:space="preserve">Điều 2. </w:t>
      </w:r>
      <w:r>
        <w:rPr>
          <w:b w:val="0"/>
          <w:i w:val="0"/>
        </w:rPr>
        <w:t>- Giao Liên Sở Giao thông công chánh, Sở Tài Chánh, Ban Vật giá thành phố căn cứ thông số 18/LĐ-TCXH-TT ngày 2/6/1993 của Bộ Lao Động -Thương binh xã hội, giải quyết chế độ phụ cấp làm ca đêm và điều chỉnh đơn giá cho phù hợp với điều kiện làm việc của công nhân vệ sinh quận, huyện, công nhân của Công ty Dịch vụ công cộng của Sở Giao thông công chánh.</w:t>
      </w:r>
    </w:p>
    <w:p>
      <w:r>
        <w:rPr>
          <w:b/>
          <w:i w:val="0"/>
        </w:rPr>
        <w:t>Điều 3.</w:t>
      </w:r>
      <w:r>
        <w:rPr>
          <w:b w:val="0"/>
          <w:i w:val="0"/>
        </w:rPr>
        <w:t xml:space="preserve"> - Ủy ban kế hoạch thành phố, Sở Tài chánh cấp bổ sung kinh phí năm 1995 cho quận, huyện và Sở Giao thông công chánh để kịp triển khai thực hiện vào ngày 1 tháng 9 năm 1995.</w:t>
      </w:r>
    </w:p>
    <w:p>
      <w:r>
        <w:rPr>
          <w:b w:val="0"/>
          <w:i w:val="0"/>
        </w:rPr>
        <w:t>Ủy ban nhân dân quận, huyện, Sở Giao thông công chánh phải trang bị quần áo phản quang và dụng cụ bảo hộ lao động cho công nhân làm vệ sinh để phòng ngừa tai nạn lao động trong khi làm việc ban đêm.</w:t>
      </w:r>
    </w:p>
    <w:p>
      <w:r>
        <w:rPr>
          <w:b/>
          <w:i w:val="0"/>
        </w:rPr>
        <w:t>Điều 4.</w:t>
      </w:r>
      <w:r>
        <w:rPr>
          <w:b w:val="0"/>
          <w:i w:val="0"/>
        </w:rPr>
        <w:t xml:space="preserve"> - Chánh Văn phòng Ủy ban nhân dân thành phố, Giám đốc Sở Tài chánh, Chủ nhiệm Ủy ban Kế hoạch thành phố, Sở Giao thông công chánh, Chủ tịch Ủy ban nhân dân quận, huyện, Trưởng Ban Vật giá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Võ Viết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Võ Viết Thanh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Võ Viết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