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60/2002/QĐ-UB Về việc phê duyệt quy hoạch chia lô và chỉnh trang khu dân cư đường Bạch Đằng - Ngô Quyền, phường 6 - thành phố Đà Lạt.</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TỈNH LÂM ĐỒNG</w:t>
      </w:r>
      <w:r>
        <w:br/>
      </w:r>
      <w:r>
        <w:rPr>
          <w:b/>
          <w:i w:val="0"/>
        </w:rPr>
        <w:t>-------</w:t>
      </w:r>
      <w:r>
        <w:rPr>
          <w:b w:val="0"/>
          <w:i w:val="0"/>
        </w:rPr>
        <w:br/>
      </w:r>
      <w:r>
        <w:rPr>
          <w:b w:val="0"/>
          <w:i w:val="0"/>
        </w:rPr>
        <w:br/>
      </w:r>
      <w:r>
        <w:rPr>
          <w:b/>
          <w:i w:val="0"/>
        </w:rPr>
        <w:t>CỘNG HÒA XÃ HỘI CHỦ NGHĨA VIỆT NAM</w:t>
      </w:r>
      <w:r>
        <w:br/>
      </w:r>
      <w:r>
        <w:rPr>
          <w:b/>
          <w:i w:val="0"/>
        </w:rPr>
        <w:t>Độc lập – Tự do – Hạnh phúc</w:t>
      </w:r>
      <w:r>
        <w:br/>
      </w:r>
      <w:r>
        <w:rPr>
          <w:b/>
          <w:i w:val="0"/>
        </w:rPr>
        <w:t>--------------</w:t>
      </w:r>
      <w:r>
        <w:rPr>
          <w:b w:val="0"/>
          <w:i w:val="0"/>
        </w:rPr>
        <w:br/>
      </w:r>
      <w:r>
        <w:rPr>
          <w:b w:val="0"/>
          <w:i w:val="0"/>
        </w:rPr>
        <w:br/>
      </w:r>
      <w:r>
        <w:rPr>
          <w:b w:val="0"/>
          <w:i w:val="0"/>
        </w:rPr>
        <w:br/>
      </w:r>
      <w:r>
        <w:rPr>
          <w:b w:val="0"/>
          <w:i w:val="0"/>
        </w:rPr>
        <w:br/>
      </w:r>
      <w:r>
        <w:rPr>
          <w:b w:val="0"/>
          <w:i w:val="0"/>
        </w:rPr>
        <w:t>Số: 60/2002/QĐ-UB</w:t>
      </w:r>
      <w:r>
        <w:rPr>
          <w:b w:val="0"/>
          <w:i w:val="0"/>
        </w:rPr>
        <w:br/>
      </w:r>
      <w:r>
        <w:rPr>
          <w:b w:val="0"/>
          <w:i w:val="0"/>
        </w:rPr>
        <w:br/>
      </w:r>
      <w:r>
        <w:rPr>
          <w:b w:val="0"/>
          <w:i/>
        </w:rPr>
        <w:t>Đà Lạt, ngày 16 tháng 04 năm 2002</w:t>
      </w:r>
      <w:r>
        <w:rPr>
          <w:b w:val="0"/>
          <w:i w:val="0"/>
        </w:rPr>
        <w:br/>
      </w:r>
      <w:r>
        <w:rPr>
          <w:b w:val="0"/>
          <w:i w:val="0"/>
        </w:rPr>
        <w:br/>
      </w:r>
      <w:r>
        <w:rPr>
          <w:b w:val="0"/>
          <w:i w:val="0"/>
        </w:rPr>
        <w:br/>
      </w:r>
      <w:r>
        <w:rPr>
          <w:b w:val="0"/>
          <w:i w:val="0"/>
        </w:rPr>
        <w:br/>
      </w:r>
      <w:r>
        <w:rPr>
          <w:b w:val="0"/>
          <w:i w:val="0"/>
        </w:rPr>
        <w:t xml:space="preserve"> </w:t>
      </w:r>
      <w:r>
        <w:rPr>
          <w:b/>
          <w:i w:val="0"/>
        </w:rPr>
        <w:t>QUYẾT ĐỊNH CỦA UBND TỈNH LÂM ĐỒNG</w:t>
      </w:r>
      <w:r>
        <w:rPr>
          <w:b w:val="0"/>
          <w:i w:val="0"/>
        </w:rPr>
        <w:br/>
      </w:r>
      <w:r>
        <w:rPr>
          <w:b/>
          <w:i w:val="0"/>
        </w:rPr>
        <w:t>Về việc phê duyệt quy hoạch chia lô và chỉnh trang khu dân cư</w:t>
      </w:r>
      <w:r>
        <w:rPr>
          <w:b w:val="0"/>
          <w:i w:val="0"/>
        </w:rPr>
        <w:br/>
      </w:r>
      <w:r>
        <w:rPr>
          <w:b/>
          <w:i w:val="0"/>
        </w:rPr>
        <w:t>đường Bạch Đằng - Ngô Quyền,phường 6 - thành phố Đà Lạt</w:t>
      </w:r>
      <w:r>
        <w:rPr>
          <w:b w:val="0"/>
          <w:i w:val="0"/>
        </w:rPr>
        <w:br/>
      </w:r>
      <w:r>
        <w:rPr>
          <w:b w:val="0"/>
          <w:i w:val="0"/>
        </w:rPr>
        <w:t xml:space="preserve"> </w:t>
      </w:r>
      <w:r>
        <w:rPr>
          <w:b w:val="0"/>
          <w:i w:val="0"/>
        </w:rPr>
        <w:br/>
      </w:r>
      <w:r>
        <w:rPr>
          <w:b/>
          <w:i w:val="0"/>
        </w:rPr>
        <w:t>ỦY BAN NHÂN DÂN TỈNH LÂM ĐỒNG</w:t>
      </w:r>
      <w:r>
        <w:rPr>
          <w:b w:val="0"/>
          <w:i w:val="0"/>
        </w:rPr>
        <w:br/>
      </w:r>
      <w:r>
        <w:rPr>
          <w:b w:val="0"/>
          <w:i/>
        </w:rPr>
        <w:t>Căn cứ Luật Tổ chức Hội đồng Nhân dân và ủy ban Nhân dân (sửa đổi) ngày 21/6/1994;</w:t>
      </w:r>
      <w:r>
        <w:rPr>
          <w:b w:val="0"/>
          <w:i w:val="0"/>
        </w:rPr>
        <w:br/>
      </w:r>
      <w:r>
        <w:rPr>
          <w:b w:val="0"/>
          <w:i/>
        </w:rPr>
        <w:t>Căn cứ Luật Đất đai ngày 14/7/1993; Luật sửa đổi, bổ sung một số điều của Luật Đất đai ngày 02/12/1998 và Luật sửa đổi, bổ sung một số điều của Luật Đất đai ngày29/6/2001;</w:t>
      </w:r>
      <w:r>
        <w:rPr>
          <w:b w:val="0"/>
          <w:i w:val="0"/>
        </w:rPr>
        <w:br/>
      </w:r>
      <w:r>
        <w:rPr>
          <w:b w:val="0"/>
          <w:i/>
        </w:rPr>
        <w:t>Căn cứ Nghị định số 91/CP ngày 17/08/1994 của Chính phủ về việc ban hành Điều lệ quản lý quy hoạch đô thị;</w:t>
      </w:r>
      <w:r>
        <w:rPr>
          <w:b w:val="0"/>
          <w:i w:val="0"/>
        </w:rPr>
        <w:br/>
      </w:r>
      <w:r>
        <w:rPr>
          <w:b w:val="0"/>
          <w:i/>
        </w:rPr>
        <w:t>Xét tờ trình số 2455/TT-UB ngày 06/12/2001 của ủy ban Nhân dân thành phố Đà Lạt;</w:t>
      </w:r>
      <w:r>
        <w:rPr>
          <w:b w:val="0"/>
          <w:i w:val="0"/>
        </w:rPr>
        <w:br/>
      </w:r>
      <w:r>
        <w:rPr>
          <w:b w:val="0"/>
          <w:i/>
        </w:rPr>
        <w:t>Theo đề nghị của Giám đốc Sở Xây dựng tại tờ trình số 235/XD-QHXD ngày 15/3/2002 về việc phê duyệt đồ án quy hoạch chia lô và chỉnh trang khu dân cư đường Bạch Đằng- Ngô Quyền, phường 6 - thành phố Đà Lạt,</w:t>
      </w:r>
      <w:r>
        <w:rPr>
          <w:b w:val="0"/>
          <w:i w:val="0"/>
        </w:rPr>
        <w:br/>
      </w:r>
      <w:r>
        <w:rPr>
          <w:b/>
          <w:i w:val="0"/>
        </w:rPr>
        <w:t>QUYẾT ĐỊNH:</w:t>
      </w:r>
      <w:r>
        <w:rPr>
          <w:b w:val="0"/>
          <w:i w:val="0"/>
        </w:rPr>
        <w:br/>
      </w:r>
      <w:r>
        <w:rPr>
          <w:b/>
          <w:i w:val="0"/>
        </w:rPr>
        <w:t>Điều 1.</w:t>
      </w:r>
      <w:r>
        <w:rPr>
          <w:b/>
          <w:i w:val="0"/>
        </w:rPr>
        <w:t xml:space="preserve"> </w:t>
      </w:r>
      <w:r>
        <w:rPr>
          <w:b w:val="0"/>
          <w:i w:val="0"/>
        </w:rPr>
        <w:t>Phê duyệt quy hoạch chia lô và chỉnh trang khu dân cư đường Bạch Đằng - Ngô Quyền, phường 6 - thành phố Đà Lạt với các nội dung chủ yếu như sau:</w:t>
      </w:r>
      <w:r>
        <w:rPr>
          <w:b w:val="0"/>
          <w:i w:val="0"/>
        </w:rPr>
        <w:br/>
      </w:r>
      <w:r>
        <w:rPr>
          <w:b/>
          <w:i w:val="0"/>
        </w:rPr>
        <w:t>1.1. Tên đồ án quy hoạch:</w:t>
      </w:r>
      <w:r>
        <w:rPr>
          <w:b w:val="0"/>
          <w:i w:val="0"/>
        </w:rPr>
        <w:t xml:space="preserve"> Quyhoạch chia lô và chỉnh trang khu dân cư.</w:t>
      </w:r>
      <w:r>
        <w:rPr>
          <w:b w:val="0"/>
          <w:i w:val="0"/>
        </w:rPr>
        <w:br/>
      </w:r>
      <w:r>
        <w:rPr>
          <w:b/>
          <w:i w:val="0"/>
        </w:rPr>
        <w:t>1.2. Sự phù hợp với quy hoạch chung:</w:t>
      </w:r>
      <w:r>
        <w:rPr>
          <w:b w:val="0"/>
          <w:i w:val="0"/>
        </w:rPr>
        <w:t>Phù hợp với quy hoạch tổng thể thành phố Đà Lạt đã được Thủ tướng Chính phủ phê duyệt tại Quyết định số 620/TTg ngày 27/10/1994.</w:t>
      </w:r>
      <w:r>
        <w:rPr>
          <w:b w:val="0"/>
          <w:i w:val="0"/>
        </w:rPr>
        <w:br/>
      </w:r>
      <w:r>
        <w:rPr>
          <w:b/>
          <w:i w:val="0"/>
        </w:rPr>
        <w:t>1.3. Vị trí:</w:t>
      </w:r>
      <w:r>
        <w:rPr>
          <w:b w:val="0"/>
          <w:i w:val="0"/>
        </w:rPr>
        <w:t xml:space="preserve"> Đường Ngô Quyền - phường 6 -thành phố Đà Lạt.</w:t>
      </w:r>
      <w:r>
        <w:rPr>
          <w:b w:val="0"/>
          <w:i w:val="0"/>
        </w:rPr>
        <w:br/>
      </w:r>
      <w:r>
        <w:rPr>
          <w:b/>
          <w:i w:val="0"/>
        </w:rPr>
        <w:t>1.4. Giới cận:</w:t>
      </w:r>
      <w:r>
        <w:rPr>
          <w:b w:val="0"/>
          <w:i w:val="0"/>
        </w:rPr>
        <w:br/>
      </w:r>
      <w:r>
        <w:rPr>
          <w:b w:val="0"/>
          <w:i w:val="0"/>
        </w:rPr>
        <w:t>- Đông giáp     : Khu dân cư;</w:t>
      </w:r>
      <w:r>
        <w:rPr>
          <w:b w:val="0"/>
          <w:i w:val="0"/>
        </w:rPr>
        <w:br/>
      </w:r>
      <w:r>
        <w:rPr>
          <w:b w:val="0"/>
          <w:i w:val="0"/>
        </w:rPr>
        <w:t>- Nam giáp       : Đất nông nghiệp;</w:t>
      </w:r>
      <w:r>
        <w:rPr>
          <w:b w:val="0"/>
          <w:i w:val="0"/>
        </w:rPr>
        <w:br/>
      </w:r>
      <w:r>
        <w:rPr>
          <w:b w:val="0"/>
          <w:i w:val="0"/>
        </w:rPr>
        <w:t>- Tây giáp        : Khu dân cư;</w:t>
      </w:r>
      <w:r>
        <w:rPr>
          <w:b w:val="0"/>
          <w:i w:val="0"/>
        </w:rPr>
        <w:br/>
      </w:r>
      <w:r>
        <w:rPr>
          <w:b w:val="0"/>
          <w:i w:val="0"/>
        </w:rPr>
        <w:t>- Bắc giáp        : Đường Ngô Quyền.</w:t>
      </w:r>
      <w:r>
        <w:rPr>
          <w:b w:val="0"/>
          <w:i w:val="0"/>
        </w:rPr>
        <w:br/>
      </w:r>
      <w:r>
        <w:rPr>
          <w:b/>
          <w:i w:val="0"/>
        </w:rPr>
        <w:t>1.5. Diện tích đất quy hoạch trực tiếp:</w:t>
      </w:r>
      <w:r>
        <w:rPr>
          <w:b w:val="0"/>
          <w:i w:val="0"/>
        </w:rPr>
        <w:t>19,00ha. Trong đó:</w:t>
      </w:r>
      <w:r>
        <w:rPr>
          <w:b w:val="0"/>
          <w:i w:val="0"/>
        </w:rPr>
        <w:br/>
      </w:r>
      <w:r>
        <w:rPr>
          <w:b w:val="0"/>
          <w:i w:val="0"/>
        </w:rPr>
        <w:t>- Đất ở: Chiếm 9,17ha(48,26%);</w:t>
      </w:r>
      <w:r>
        <w:rPr>
          <w:b w:val="0"/>
          <w:i w:val="0"/>
        </w:rPr>
        <w:br/>
      </w:r>
      <w:r>
        <w:rPr>
          <w:b w:val="0"/>
          <w:i w:val="0"/>
        </w:rPr>
        <w:t>- Đất công trình công cộng: Chiếm 3,18ha (16,74%);</w:t>
      </w:r>
      <w:r>
        <w:rPr>
          <w:b w:val="0"/>
          <w:i w:val="0"/>
        </w:rPr>
        <w:br/>
      </w:r>
      <w:r>
        <w:rPr>
          <w:b w:val="0"/>
          <w:i w:val="0"/>
        </w:rPr>
        <w:t>- Đất cây xanh : Chiếm 2,67ha (14,05%);</w:t>
      </w:r>
      <w:r>
        <w:rPr>
          <w:b w:val="0"/>
          <w:i w:val="0"/>
        </w:rPr>
        <w:br/>
      </w:r>
      <w:r>
        <w:rPr>
          <w:b w:val="0"/>
          <w:i w:val="0"/>
        </w:rPr>
        <w:t>- Đất giao thông, hạ tầng kỹ thuật: Chiếm 3,98ha (20,95%).</w:t>
      </w:r>
      <w:r>
        <w:rPr>
          <w:b w:val="0"/>
          <w:i w:val="0"/>
        </w:rPr>
        <w:br/>
      </w:r>
      <w:r>
        <w:rPr>
          <w:b/>
          <w:i w:val="0"/>
        </w:rPr>
        <w:t>1.6. Quy mô dân số:</w:t>
      </w:r>
      <w:r>
        <w:rPr>
          <w:b w:val="0"/>
          <w:i w:val="0"/>
        </w:rPr>
        <w:t xml:space="preserve"> Dự kiến quy mô dân số trong khu vực quy hoạch đạt từ 2.500 đến 3.000 người. Trong đó:</w:t>
      </w:r>
      <w:r>
        <w:rPr>
          <w:b w:val="0"/>
          <w:i w:val="0"/>
        </w:rPr>
        <w:br/>
      </w:r>
      <w:r>
        <w:rPr>
          <w:b w:val="0"/>
          <w:i w:val="0"/>
        </w:rPr>
        <w:t>- Khu vực quy hoạch chỉnh trang: 1.700 người/07,50ha</w:t>
      </w:r>
      <w:r>
        <w:rPr>
          <w:b w:val="0"/>
          <w:i w:val="0"/>
        </w:rPr>
        <w:br/>
      </w:r>
      <w:r>
        <w:rPr>
          <w:b w:val="0"/>
          <w:i w:val="0"/>
        </w:rPr>
        <w:t>- Khu vực quy hoạch chia lô (QH mới): 1.300 người/11,50ha</w:t>
      </w:r>
      <w:r>
        <w:rPr>
          <w:b w:val="0"/>
          <w:i w:val="0"/>
        </w:rPr>
        <w:br/>
      </w:r>
      <w:r>
        <w:rPr>
          <w:b/>
          <w:i w:val="0"/>
        </w:rPr>
        <w:t>1.7. Nội dung quy hoạch:</w:t>
      </w:r>
      <w:r>
        <w:rPr>
          <w:b w:val="0"/>
          <w:i w:val="0"/>
        </w:rPr>
        <w:br/>
      </w:r>
      <w:r>
        <w:rPr>
          <w:b/>
          <w:i/>
        </w:rPr>
        <w:t>a) Không gian quy hoạch - kiến trúc</w:t>
      </w:r>
      <w:r>
        <w:rPr>
          <w:b/>
          <w:i w:val="0"/>
        </w:rPr>
        <w:t>:</w:t>
      </w:r>
      <w:r>
        <w:rPr>
          <w:b/>
          <w:i w:val="0"/>
        </w:rPr>
        <w:t xml:space="preserve"> </w:t>
      </w:r>
      <w:r>
        <w:rPr>
          <w:b w:val="0"/>
          <w:i w:val="0"/>
        </w:rPr>
        <w:t>Trong phạm vi quy hoạch được chia thành 02 khu vực sau:</w:t>
      </w:r>
      <w:r>
        <w:rPr>
          <w:b w:val="0"/>
          <w:i w:val="0"/>
        </w:rPr>
        <w:br/>
      </w:r>
      <w:r>
        <w:rPr>
          <w:b w:val="0"/>
          <w:i w:val="0"/>
        </w:rPr>
        <w:t xml:space="preserve">a1/ </w:t>
      </w:r>
      <w:r>
        <w:rPr>
          <w:b w:val="0"/>
          <w:i w:val="0"/>
        </w:rPr>
        <w:t>Khu vực quy hoạch chỉnh trang</w:t>
      </w:r>
      <w:r>
        <w:rPr>
          <w:b w:val="0"/>
          <w:i w:val="0"/>
        </w:rPr>
        <w:t>: Diện tích 7,50ha. Trong khu vực quy hoạch này gồm có:</w:t>
      </w:r>
      <w:r>
        <w:rPr>
          <w:b w:val="0"/>
          <w:i w:val="0"/>
        </w:rPr>
        <w:br/>
      </w:r>
      <w:r>
        <w:rPr>
          <w:b w:val="0"/>
          <w:i w:val="0"/>
        </w:rPr>
        <w:t>- Đất công trình công cộng (một khu vực đất xây dựng nhà trẻ và hai khu vực đất dự phòng);</w:t>
      </w:r>
      <w:r>
        <w:rPr>
          <w:b w:val="0"/>
          <w:i w:val="0"/>
        </w:rPr>
        <w:br/>
      </w:r>
      <w:r>
        <w:rPr>
          <w:b w:val="0"/>
          <w:i w:val="0"/>
        </w:rPr>
        <w:t>- Đất công trình tôn giáo (khu vực đất đền Điện Mẫu, khu vực đất tịnh xá Ngọc Thiền và khu vực đất đình xóm);</w:t>
      </w:r>
      <w:r>
        <w:rPr>
          <w:b w:val="0"/>
          <w:i w:val="0"/>
        </w:rPr>
        <w:br/>
      </w:r>
      <w:r>
        <w:rPr>
          <w:b w:val="0"/>
          <w:i w:val="0"/>
        </w:rPr>
        <w:t>- Đất giao thông, cây xanh và hạ tầng kỹ thuật;</w:t>
      </w:r>
      <w:r>
        <w:rPr>
          <w:b w:val="0"/>
          <w:i w:val="0"/>
        </w:rPr>
        <w:br/>
      </w:r>
      <w:r>
        <w:rPr>
          <w:b w:val="0"/>
          <w:i w:val="0"/>
        </w:rPr>
        <w:t>- Đất ở: Được chia làm 14 khu vực có ký hiệu là A, B, C, D, E, F, G, H, K, L, M, N, O và P với một số quy định về quy hoạch của từng khu vực như sau:</w:t>
      </w:r>
      <w:r>
        <w:rPr>
          <w:b w:val="0"/>
          <w:i w:val="0"/>
        </w:rPr>
        <w:br/>
      </w:r>
      <w:r>
        <w:rPr>
          <w:b w:val="0"/>
          <w:i w:val="0"/>
        </w:rPr>
        <w:t>+Khu vực C, D, E, F và dãy nhà mặt tiền dọc theo đoạn đường từ cọc 27 đến cọc 28: Nhà liên kế có sân vườn. Trong khu vực này chỉ giải quyết cho tách thửa đất khi diện tích lô đất sau khi tách thửa phải đạt tối thiểu là 64m</w:t>
      </w:r>
      <w:r>
        <w:rPr>
          <w:b w:val="0"/>
          <w:i w:val="0"/>
        </w:rPr>
        <w:t xml:space="preserve">2 </w:t>
      </w:r>
      <w:r>
        <w:rPr>
          <w:b w:val="0"/>
          <w:i w:val="0"/>
        </w:rPr>
        <w:t>với chiều ngang lô đất tối thiểu là 4 mét;</w:t>
      </w:r>
      <w:r>
        <w:rPr>
          <w:b w:val="0"/>
          <w:i w:val="0"/>
        </w:rPr>
        <w:br/>
      </w:r>
      <w:r>
        <w:rPr>
          <w:b w:val="0"/>
          <w:i w:val="0"/>
        </w:rPr>
        <w:t>+Các khu vực còn lại : Nhà biệt lập. Trong các khu vực này chỉ giải quyết cho tách thửa đất khi diện tích lô đất sau khi tách thửa phải đạt tối thiểu là 250m</w:t>
      </w:r>
      <w:r>
        <w:rPr>
          <w:b w:val="0"/>
          <w:i w:val="0"/>
        </w:rPr>
        <w:t>2</w:t>
      </w:r>
      <w:r>
        <w:rPr>
          <w:b w:val="0"/>
          <w:i w:val="0"/>
        </w:rPr>
        <w:t>với chiều ngang lô đất tối thiểu là 10 mét.</w:t>
      </w:r>
      <w:r>
        <w:rPr>
          <w:b w:val="0"/>
          <w:i w:val="0"/>
        </w:rPr>
        <w:br/>
      </w:r>
      <w:r>
        <w:rPr>
          <w:b w:val="0"/>
          <w:i w:val="0"/>
        </w:rPr>
        <w:t xml:space="preserve">a2/ </w:t>
      </w:r>
      <w:r>
        <w:rPr>
          <w:b w:val="0"/>
          <w:i w:val="0"/>
        </w:rPr>
        <w:t>Khu vực quy hoạch chia lô (quy hoạch mới)</w:t>
      </w:r>
      <w:r>
        <w:rPr>
          <w:b w:val="0"/>
          <w:i w:val="0"/>
        </w:rPr>
        <w:t>: Diện tích 11,50ha. Trong khu vực quy hoạchnày gồm có :</w:t>
      </w:r>
      <w:r>
        <w:rPr>
          <w:b w:val="0"/>
          <w:i w:val="0"/>
        </w:rPr>
        <w:br/>
      </w:r>
      <w:r>
        <w:rPr>
          <w:b w:val="0"/>
          <w:i w:val="0"/>
        </w:rPr>
        <w:t>- Đất công trình công cộng (hai khu vực đất xây dựng nhà trẻ, hai khu vực đất xây dựng hội trường khu phố và một khu công viên, trong khu công viên bố trí một số sân thể dục thể thao và một số công trình kiến trúc nhỏ);</w:t>
      </w:r>
      <w:r>
        <w:rPr>
          <w:b w:val="0"/>
          <w:i w:val="0"/>
        </w:rPr>
        <w:br/>
      </w:r>
      <w:r>
        <w:rPr>
          <w:b w:val="0"/>
          <w:i w:val="0"/>
        </w:rPr>
        <w:t>- Đất giao thông, cây xanh và hạ tầng kỹ thuật;</w:t>
      </w:r>
      <w:r>
        <w:rPr>
          <w:b w:val="0"/>
          <w:i w:val="0"/>
        </w:rPr>
        <w:br/>
      </w:r>
      <w:r>
        <w:rPr>
          <w:b w:val="0"/>
          <w:i w:val="0"/>
        </w:rPr>
        <w:t>- Đất ở: Được chia lô như sau:</w:t>
      </w:r>
      <w:r>
        <w:rPr>
          <w:b w:val="0"/>
          <w:i w:val="0"/>
        </w:rPr>
        <w:br/>
      </w:r>
      <w:r>
        <w:rPr>
          <w:b w:val="0"/>
          <w:i w:val="0"/>
        </w:rPr>
        <w:t>+Đất xây dựng nhà liên kế có sân vườn: 60 lô. Về mặt quản lý quy hoạch, phải xây dựng từng dãy nhà (08 dãy) với mặt tiền nhà và chiều cao công trình tạo thành một khối thống nhất, đồng bộ;</w:t>
      </w:r>
      <w:r>
        <w:rPr>
          <w:b w:val="0"/>
          <w:i w:val="0"/>
        </w:rPr>
        <w:br/>
      </w:r>
      <w:r>
        <w:rPr>
          <w:b w:val="0"/>
          <w:i w:val="0"/>
        </w:rPr>
        <w:t>+Đất xây dựng nhà biệt lập : 152 lô.</w:t>
      </w:r>
      <w:r>
        <w:rPr>
          <w:b w:val="0"/>
          <w:i w:val="0"/>
        </w:rPr>
        <w:br/>
      </w:r>
      <w:r>
        <w:rPr>
          <w:b w:val="0"/>
          <w:i w:val="0"/>
        </w:rPr>
        <w:t>Cụ thể, theo bản vẽ đính kèm.</w:t>
      </w:r>
      <w:r>
        <w:rPr>
          <w:b w:val="0"/>
          <w:i w:val="0"/>
        </w:rPr>
        <w:br/>
      </w:r>
      <w:r>
        <w:rPr>
          <w:b/>
          <w:i/>
        </w:rPr>
        <w:t>b) Giao thông</w:t>
      </w:r>
      <w:r>
        <w:rPr>
          <w:b/>
          <w:i w:val="0"/>
        </w:rPr>
        <w:t>:</w:t>
      </w:r>
      <w:r>
        <w:rPr>
          <w:b w:val="0"/>
          <w:i w:val="0"/>
        </w:rPr>
        <w:t xml:space="preserve"> Sử dụng chính là đường Ngô Quyền có lộ giới rộng 16 mét. Cải tạo và mở mới trong khu quy hoạch một số tuyến đường chính có lộ giới rộng 17 mét (mặt cắt A-A), một số tuyến đườngnhánh có lộ giới rộng 11 mét (mặt cắt B-B), 9 mét (mặt cắt C-C) và một số đường hẻm nội bộ rộng 3,50 mét (mặt cắt D-D).</w:t>
      </w:r>
      <w:r>
        <w:rPr>
          <w:b w:val="0"/>
          <w:i w:val="0"/>
        </w:rPr>
        <w:br/>
      </w:r>
      <w:r>
        <w:rPr>
          <w:b/>
          <w:i/>
        </w:rPr>
        <w:t>c) Cấp thoát nước</w:t>
      </w:r>
      <w:r>
        <w:rPr>
          <w:b/>
          <w:i w:val="0"/>
        </w:rPr>
        <w:t>:</w:t>
      </w:r>
      <w:r>
        <w:rPr>
          <w:b w:val="0"/>
          <w:i w:val="0"/>
        </w:rPr>
        <w:br/>
      </w:r>
      <w:r>
        <w:rPr>
          <w:b w:val="0"/>
          <w:i w:val="0"/>
        </w:rPr>
        <w:t>- Cấp nước: Đầu tư mới và cải tạo hệ thống nước máy hiện có tại khu vực</w:t>
      </w:r>
      <w:r>
        <w:rPr>
          <w:b w:val="0"/>
          <w:i w:val="0"/>
        </w:rPr>
        <w:br/>
      </w:r>
      <w:r>
        <w:rPr>
          <w:b w:val="0"/>
          <w:i w:val="0"/>
        </w:rPr>
        <w:t>- Thoát nước: Nước mặt thoát theo địa hình vào hệ thống mương cống chung của khu vực. Nước thải sinh hoạt được xử lý qua bể tự hoại trước khi thoát ra mương cống chung của khu vực,đảm bảo vệ sinh môi trường theo quy định.</w:t>
      </w:r>
      <w:r>
        <w:rPr>
          <w:b w:val="0"/>
          <w:i w:val="0"/>
        </w:rPr>
        <w:br/>
      </w:r>
      <w:r>
        <w:rPr>
          <w:b/>
          <w:i/>
        </w:rPr>
        <w:t>d) Cấp điện</w:t>
      </w:r>
      <w:r>
        <w:rPr>
          <w:b/>
          <w:i w:val="0"/>
        </w:rPr>
        <w:t>:</w:t>
      </w:r>
      <w:r>
        <w:rPr>
          <w:b/>
          <w:i w:val="0"/>
        </w:rPr>
        <w:t xml:space="preserve"> </w:t>
      </w:r>
      <w:r>
        <w:rPr>
          <w:b w:val="0"/>
          <w:i w:val="0"/>
        </w:rPr>
        <w:t>Đầu tư mới và cải tạo hệ thống điện hiện có tại khu vực.</w:t>
      </w:r>
      <w:r>
        <w:rPr>
          <w:b w:val="0"/>
          <w:i w:val="0"/>
        </w:rPr>
        <w:br/>
      </w:r>
      <w:r>
        <w:rPr>
          <w:b/>
          <w:i w:val="0"/>
        </w:rPr>
        <w:t>1.8 Một số chỉ tiêu quản lý về quy hoạch và xây dựng:</w:t>
      </w:r>
      <w:r>
        <w:rPr>
          <w:b w:val="0"/>
          <w:i w:val="0"/>
        </w:rPr>
        <w:br/>
      </w:r>
      <w:r>
        <w:rPr>
          <w:b w:val="0"/>
          <w:i w:val="0"/>
        </w:rPr>
        <w:t xml:space="preserve">- Mật độ xây dựng:     </w:t>
      </w:r>
      <w:r>
        <w:rPr>
          <w:b w:val="0"/>
          <w:i w:val="0"/>
        </w:rPr>
        <w:br/>
      </w:r>
      <w:r>
        <w:rPr>
          <w:b w:val="0"/>
          <w:i w:val="0"/>
        </w:rPr>
        <w:t>+ Nhà biệt lập: Ê 50%;</w:t>
      </w:r>
      <w:r>
        <w:rPr>
          <w:b w:val="0"/>
          <w:i w:val="0"/>
        </w:rPr>
        <w:br/>
      </w:r>
      <w:r>
        <w:rPr>
          <w:b w:val="0"/>
          <w:i w:val="0"/>
        </w:rPr>
        <w:t>+ Nhà liên kế có sân vườn:Ê 90%.</w:t>
      </w:r>
      <w:r>
        <w:rPr>
          <w:b w:val="0"/>
          <w:i w:val="0"/>
        </w:rPr>
        <w:br/>
      </w:r>
      <w:r>
        <w:rPr>
          <w:b w:val="0"/>
          <w:i w:val="0"/>
        </w:rPr>
        <w:t>- Tầng cao công trình:</w:t>
      </w:r>
      <w:r>
        <w:rPr>
          <w:b w:val="0"/>
          <w:i w:val="0"/>
        </w:rPr>
        <w:br/>
      </w:r>
      <w:r>
        <w:rPr>
          <w:b w:val="0"/>
          <w:i w:val="0"/>
        </w:rPr>
        <w:t>+ Nhà biệt lập: Ê 02tầng;</w:t>
      </w:r>
      <w:r>
        <w:rPr>
          <w:b w:val="0"/>
          <w:i w:val="0"/>
        </w:rPr>
        <w:br/>
      </w:r>
      <w:r>
        <w:rPr>
          <w:b w:val="0"/>
          <w:i w:val="0"/>
        </w:rPr>
        <w:t>+ Nhà liên kế có sân vườn:Ê 03 tầng.</w:t>
      </w:r>
      <w:r>
        <w:rPr>
          <w:b w:val="0"/>
          <w:i w:val="0"/>
        </w:rPr>
        <w:br/>
      </w:r>
      <w:r>
        <w:rPr>
          <w:b w:val="0"/>
          <w:i w:val="0"/>
        </w:rPr>
        <w:t>- Chỉ giới xây dựngcách chỉ giới đường đỏ (khoảng lùi):</w:t>
      </w:r>
      <w:r>
        <w:rPr>
          <w:b w:val="0"/>
          <w:i w:val="0"/>
        </w:rPr>
        <w:br/>
      </w:r>
      <w:r>
        <w:rPr>
          <w:b w:val="0"/>
          <w:i w:val="0"/>
        </w:rPr>
        <w:t>+Đối với nhà biệt lập: ³ 3,0 mét;</w:t>
      </w:r>
      <w:r>
        <w:rPr>
          <w:b w:val="0"/>
          <w:i w:val="0"/>
        </w:rPr>
        <w:br/>
      </w:r>
      <w:r>
        <w:rPr>
          <w:b w:val="0"/>
          <w:i w:val="0"/>
        </w:rPr>
        <w:t>+Đối với nhà liên kế có sân vườn: ³ 2,5 mét (riêng dãy nhà ở mặt tiền đường Ngô Quyền là ³ 2,40 mét).</w:t>
      </w:r>
      <w:r>
        <w:rPr>
          <w:b w:val="0"/>
          <w:i w:val="0"/>
        </w:rPr>
        <w:br/>
      </w:r>
      <w:r>
        <w:rPr>
          <w:b w:val="0"/>
          <w:i w:val="0"/>
        </w:rPr>
        <w:t>- Mái của tất cả các loại công trình trong khu vực quy hoạch phải lợp ngói hoặc tôn mạ màu. Ngoài ra, các công trình xây dựng phải đảm bảo phù hợp với Quy chuẩn Xây dựng Việt Nam.</w:t>
      </w:r>
      <w:r>
        <w:rPr>
          <w:b w:val="0"/>
          <w:i w:val="0"/>
        </w:rPr>
        <w:br/>
      </w:r>
      <w:r>
        <w:rPr>
          <w:b w:val="0"/>
          <w:i w:val="0"/>
        </w:rPr>
        <w:t>(Đính kèm hồ sơ quy hoạch tỷ lệ 1/500 do Công ty Tư vấn xây dựng Lâm Đồng thiết lập tháng 5/2001).</w:t>
      </w:r>
      <w:r>
        <w:rPr>
          <w:b w:val="0"/>
          <w:i w:val="0"/>
        </w:rPr>
        <w:br/>
      </w:r>
      <w:r>
        <w:rPr>
          <w:b/>
          <w:i w:val="0"/>
        </w:rPr>
        <w:t>Điều 2.</w:t>
      </w:r>
      <w:r>
        <w:rPr>
          <w:b w:val="0"/>
          <w:i w:val="0"/>
        </w:rPr>
        <w:br/>
      </w:r>
      <w:r>
        <w:rPr>
          <w:b/>
          <w:i w:val="0"/>
        </w:rPr>
        <w:t>2.1.</w:t>
      </w:r>
      <w:r>
        <w:rPr>
          <w:b w:val="0"/>
          <w:i w:val="0"/>
        </w:rPr>
        <w:t xml:space="preserve"> Giao ủy ban Nhân dân thành phố Đà Lạt công bố công khai đồ án quy hoạch chia lô và chỉnh trang được duyệt bằng nhiều hình thức cho các tổ chức, đơn vị, cá nhân biết để thực hiện; đồng thời,có trách nhiệm tổ chức lập hồ sơ chuẩn bị đầu tư xây dựng cơ sở hạ tầng (tiếp tục hoàn chỉnh hồ sơ thiết kế sơ bộ hệ thống giao thông, san gạt địa hình, hệ thống cấp thoát nước, hệ thống điện) khu vực quy hoạch trình cấp có thẩm quyền thẩm định, phê duyệt để làm cơ sở cho việc triển khai công tác thu hồi đất, bồi thường thiệt hại khi thu hồi đất, giải phóng mặt bằng, giao đất và quản lý xây dựng công trình theo đúng quy hoạch được duyệt và các quy định hiện hành của Nhà nước.</w:t>
      </w:r>
      <w:r>
        <w:rPr>
          <w:b w:val="0"/>
          <w:i w:val="0"/>
        </w:rPr>
        <w:br/>
      </w:r>
      <w:r>
        <w:rPr>
          <w:b/>
          <w:i w:val="0"/>
        </w:rPr>
        <w:t>2.2.</w:t>
      </w:r>
      <w:r>
        <w:rPr>
          <w:b w:val="0"/>
          <w:i w:val="0"/>
        </w:rPr>
        <w:t xml:space="preserve"> Giao Sở Xây dựng, Sở Địa chính, Sở Giao thông Vận tải, ủy ban Nhân dân thành phố Đà Lạt và các ngành có liên quan với chức năng, nhiệm vụ được giao chịu trách nhiệm hướng dẫn, phối hợp và theo dõi việc thực hiện.</w:t>
      </w:r>
      <w:r>
        <w:rPr>
          <w:b w:val="0"/>
          <w:i w:val="0"/>
        </w:rPr>
        <w:br/>
      </w:r>
      <w:r>
        <w:rPr>
          <w:b/>
          <w:i w:val="0"/>
        </w:rPr>
        <w:t>Điều 3.</w:t>
      </w:r>
      <w:r>
        <w:rPr>
          <w:b/>
          <w:i w:val="0"/>
        </w:rPr>
        <w:t xml:space="preserve"> </w:t>
      </w:r>
      <w:r>
        <w:rPr>
          <w:b w:val="0"/>
          <w:i w:val="0"/>
        </w:rPr>
        <w:t>Chánh Văn phòng Hội đồng Nhân dân và ủy ban Nhân dân Tỉnh, Giám đốc các Sở: Xây dựng; Địa chính; Giao thông Vận tải; Công nghiệp; Kế hoạch và Đầu tư; Tài chính vật giá; Tư pháp, Chủ tịch ủy ban Nhân dân thành phố Đà Lạt, Thủ trưởng các ngành, đơn vị và cá nhân có liên quan căn cứ quyết định thi hành kể từ ngày ký./.</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br/>
      </w:r>
      <w:r>
        <w:rPr>
          <w:b/>
          <w:i w:val="0"/>
        </w:rPr>
        <w:t>CHỦ TỊCH</w:t>
      </w:r>
      <w:r>
        <w:br/>
      </w:r>
      <w:r>
        <w:rPr>
          <w:b/>
          <w:i w:val="0"/>
        </w:rPr>
        <w:t>PHÓ CHỦ TỊCH</w:t>
      </w:r>
      <w:r>
        <w:br/>
      </w:r>
      <w:r>
        <w:br/>
      </w:r>
      <w:r>
        <w:rPr>
          <w:b/>
          <w:i w:val="0"/>
        </w:rPr>
        <w:t>(Đã ký)</w:t>
      </w:r>
      <w:r>
        <w:rPr>
          <w:b w:val="0"/>
          <w:i w:val="0"/>
        </w:rPr>
        <w:br/>
      </w:r>
      <w:r>
        <w:br/>
      </w:r>
      <w:r>
        <w:br/>
      </w:r>
      <w:r>
        <w:rPr>
          <w:b/>
          <w:i w:val="0"/>
        </w:rPr>
        <w:t>Hoãng Sĩ Sơn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LÂM ĐỒNG</w:t>
            </w:r>
            <w:r>
              <w:br/>
            </w:r>
            <w:r>
              <w:rPr>
                <w:b/>
                <w:i w:val="0"/>
              </w:rPr>
              <w:t>-------</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CHỦ TỊCH</w:t>
            </w:r>
            <w:r>
              <w:br/>
            </w:r>
            <w:r>
              <w:rPr>
                <w:b/>
                <w:i w:val="0"/>
              </w:rPr>
              <w:t>PHÓ CHỦ TỊCH</w:t>
            </w:r>
            <w:r>
              <w:br/>
            </w:r>
            <w:r>
              <w:br/>
            </w:r>
            <w:r>
              <w:rPr>
                <w:b/>
                <w:i w:val="0"/>
              </w:rPr>
              <w:t>(Đã ký)</w:t>
            </w:r>
            <w:r>
              <w:rPr>
                <w:b w:val="0"/>
                <w:i w:val="0"/>
              </w:rPr>
              <w:br/>
            </w:r>
            <w:r>
              <w:br/>
            </w:r>
            <w:r>
              <w:br/>
            </w:r>
            <w:r>
              <w:rPr>
                <w:b/>
                <w:i w:val="0"/>
              </w:rPr>
              <w:t>Hoãng Sĩ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