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61/2005/QĐ-UB Về việc kiện toàn ban chỉ đạo về du lịch của tỉnh</w:t>
      </w:r>
    </w:p>
    <w:p>
      <w:r>
        <w:rPr>
          <w:b w:val="0"/>
          <w:i w:val="0"/>
        </w:rPr>
        <w:br/>
      </w:r>
      <w:r>
        <w:rPr>
          <w:b w:val="0"/>
          <w:i w:val="0"/>
        </w:rPr>
        <w:br/>
      </w:r>
      <w:r>
        <w:rPr>
          <w:b/>
          <w:i w:val="0"/>
        </w:rPr>
        <w:br/>
      </w:r>
      <w:r>
        <w:rPr>
          <w:b/>
          <w:i w:val="0"/>
        </w:rPr>
        <w:br/>
      </w:r>
      <w:r>
        <w:rPr>
          <w:b/>
          <w:i w:val="0"/>
        </w:rPr>
        <w:t>ỦY</w:t>
      </w:r>
      <w:r>
        <w:rPr>
          <w:b/>
          <w:i w:val="0"/>
        </w:rPr>
        <w:t xml:space="preserve">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61/2005/QĐ-UB</w:t>
      </w:r>
      <w:r>
        <w:rPr>
          <w:b w:val="0"/>
          <w:i w:val="0"/>
        </w:rPr>
        <w:br/>
      </w:r>
      <w:r>
        <w:rPr>
          <w:b w:val="0"/>
          <w:i w:val="0"/>
        </w:rPr>
        <w:br/>
      </w:r>
      <w:r>
        <w:rPr>
          <w:b w:val="0"/>
          <w:i/>
        </w:rPr>
        <w:br/>
      </w:r>
      <w:r>
        <w:rPr>
          <w:b w:val="0"/>
          <w:i/>
        </w:rPr>
        <w:t xml:space="preserve">     </w:t>
      </w:r>
      <w:r>
        <w:rPr>
          <w:b w:val="0"/>
          <w:i/>
        </w:rPr>
        <w:t>Pleiku</w:t>
      </w:r>
      <w:r>
        <w:rPr>
          <w:b w:val="0"/>
          <w:i/>
        </w:rPr>
        <w:t>,</w:t>
      </w:r>
      <w:r>
        <w:rPr>
          <w:b w:val="0"/>
          <w:i/>
        </w:rPr>
        <w:t xml:space="preserve"> ngày 16 tháng 05 năm 2005</w:t>
      </w:r>
      <w:r>
        <w:rPr>
          <w:b w:val="0"/>
          <w:i/>
        </w:rPr>
        <w:br/>
      </w:r>
      <w:r>
        <w:rPr>
          <w:b w:val="0"/>
          <w:i w:val="0"/>
        </w:rPr>
        <w:br/>
      </w:r>
      <w:r>
        <w:rPr>
          <w:b w:val="0"/>
          <w:i w:val="0"/>
        </w:rPr>
        <w:br/>
      </w:r>
    </w:p>
    <w:p>
      <w:r>
        <w:rPr>
          <w:b w:val="0"/>
          <w:i w:val="0"/>
        </w:rPr>
        <w:br/>
      </w:r>
      <w:r>
        <w:rPr>
          <w:b/>
          <w:i w:val="0"/>
        </w:rPr>
        <w:br/>
      </w:r>
      <w:r>
        <w:rPr>
          <w:b/>
          <w:i w:val="0"/>
        </w:rPr>
        <w:br/>
      </w:r>
      <w:r>
        <w:rPr>
          <w:b/>
          <w:i w:val="0"/>
        </w:rPr>
        <w:t>ỦY</w:t>
      </w:r>
      <w:r>
        <w:rPr>
          <w:b/>
          <w:i w:val="0"/>
        </w:rPr>
        <w:t xml:space="preserve">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w:t>
      </w:r>
      <w:r>
        <w:rPr>
          <w:b w:val="0"/>
          <w:i w:val="0"/>
        </w:rPr>
        <w:t xml:space="preserve">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i w:val="0"/>
        </w:rPr>
        <w:t>ỦY</w:t>
      </w:r>
      <w:r>
        <w:rPr>
          <w:b w:val="0"/>
          <w:i w:val="0"/>
        </w:rPr>
        <w:t xml:space="preserve">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61/2005/QĐ-UB</w:t>
      </w:r>
      <w:r>
        <w:rPr>
          <w:b w:val="0"/>
          <w:i w:val="0"/>
        </w:rPr>
        <w:br/>
      </w:r>
      <w:r>
        <w:rPr>
          <w:b w:val="0"/>
          <w:i w:val="0"/>
        </w:rPr>
        <w:br/>
      </w:r>
      <w:r>
        <w:rPr>
          <w:b w:val="0"/>
          <w:i/>
        </w:rPr>
        <w:br/>
      </w:r>
      <w:r>
        <w:rPr>
          <w:b w:val="0"/>
          <w:i/>
        </w:rPr>
        <w:t xml:space="preserve">     </w:t>
      </w:r>
      <w:r>
        <w:rPr>
          <w:b w:val="0"/>
          <w:i/>
        </w:rPr>
        <w:t>Pleiku</w:t>
      </w:r>
      <w:r>
        <w:rPr>
          <w:b w:val="0"/>
          <w:i/>
        </w:rPr>
        <w:t>,</w:t>
      </w:r>
      <w:r>
        <w:rPr>
          <w:b w:val="0"/>
          <w:i/>
        </w:rPr>
        <w:t xml:space="preserve"> ngày 16 tháng 05 năm 2005</w:t>
      </w:r>
      <w:r>
        <w:rPr>
          <w:b w:val="0"/>
          <w:i/>
        </w:rPr>
        <w:br/>
      </w:r>
      <w:r>
        <w:rPr>
          <w:b w:val="0"/>
          <w:i w:val="0"/>
        </w:rPr>
        <w:br/>
      </w:r>
    </w:p>
    <w:p>
      <w:pPr>
        <w:jc w:val="center"/>
      </w:pPr>
      <w:r>
        <w:rPr>
          <w:b w:val="0"/>
          <w:i w:val="0"/>
        </w:rPr>
        <w:br/>
      </w:r>
      <w:r>
        <w:rPr>
          <w:b w:val="0"/>
          <w:i w:val="0"/>
        </w:rPr>
        <w:t>Số: 61/2005/QĐ-UB</w:t>
      </w:r>
      <w:r>
        <w:rPr>
          <w:b w:val="0"/>
          <w:i w:val="0"/>
        </w:rPr>
        <w:br/>
      </w:r>
    </w:p>
    <w:p>
      <w:pPr>
        <w:jc w:val="center"/>
      </w:pPr>
      <w:r>
        <w:rPr>
          <w:b w:val="0"/>
          <w:i w:val="0"/>
        </w:rPr>
        <w:br/>
      </w:r>
      <w:r>
        <w:rPr>
          <w:b w:val="0"/>
          <w:i/>
        </w:rPr>
        <w:t xml:space="preserve">     </w:t>
      </w:r>
      <w:r>
        <w:rPr>
          <w:b w:val="0"/>
          <w:i/>
        </w:rPr>
        <w:t>Pleiku</w:t>
      </w:r>
      <w:r>
        <w:rPr>
          <w:b w:val="0"/>
          <w:i w:val="0"/>
        </w:rPr>
        <w:t>,</w:t>
      </w:r>
      <w:r>
        <w:rPr>
          <w:b w:val="0"/>
          <w:i w:val="0"/>
        </w:rPr>
        <w:t xml:space="preserve"> ngày 16 tháng 05 năm 2005</w:t>
      </w:r>
      <w:r>
        <w:rPr>
          <w:b w:val="0"/>
          <w:i w:val="0"/>
        </w:rPr>
        <w:br/>
      </w:r>
    </w:p>
    <w:p>
      <w:r>
        <w:rPr>
          <w:b/>
          <w:i w:val="0"/>
        </w:rPr>
        <w:t>QUYẾT ĐỊNH</w:t>
      </w:r>
      <w:r>
        <w:br/>
      </w:r>
      <w:r>
        <w:rPr>
          <w:b/>
          <w:i w:val="0"/>
        </w:rPr>
        <w:br/>
        <w:t xml:space="preserve">      CỦA ỦY BAN NHÂN DÂN TỈNH GIA LAI</w:t>
      </w:r>
    </w:p>
    <w:p>
      <w:r>
        <w:rPr>
          <w:b/>
          <w:i w:val="0"/>
        </w:rPr>
        <w:t>Về việc kiện toàn ban chỉ đạo về du lịch của tỉnh</w:t>
      </w:r>
    </w:p>
    <w:p>
      <w:r>
        <w:rPr>
          <w:b/>
          <w:i w:val="0"/>
        </w:rPr>
        <w:t>________________________</w:t>
      </w:r>
    </w:p>
    <w:p>
      <w:r>
        <w:rPr>
          <w:b/>
          <w:i w:val="0"/>
        </w:rPr>
        <w:t xml:space="preserve">ỦY BAN NHÂN DÂN TỈNH GIA LAI </w:t>
      </w:r>
    </w:p>
    <w:p>
      <w:r>
        <w:rPr>
          <w:b w:val="0"/>
          <w:i/>
        </w:rPr>
        <w:t>- Căn cứ Luật tổ chức Hội đồng nhân dân và Uỷ ban nhân dân năm 2003;</w:t>
      </w:r>
    </w:p>
    <w:p>
      <w:r>
        <w:rPr>
          <w:b w:val="0"/>
          <w:i/>
        </w:rPr>
        <w:t>- Căn cứ kết luận của Bộ Chính trị về phát triển du lịch trong tình hình mới (thông báo số 179/TB-TW ngày 11/11/1998 của Bộ Chính trị);</w:t>
      </w:r>
    </w:p>
    <w:p>
      <w:r>
        <w:rPr>
          <w:b w:val="0"/>
          <w:i/>
        </w:rPr>
        <w:t>- Căn cứ Quyết định số 23/1999/QĐ-TTg ngày 13/2/1999 của Thủ tướng Chính phủ về việc thành lập Ban chỉ đạo Nhà nước về du lịch;</w:t>
      </w:r>
    </w:p>
    <w:p>
      <w:r>
        <w:rPr>
          <w:b w:val="0"/>
          <w:i/>
        </w:rPr>
        <w:t>- Theo đề nghị của Giám đốc Sở Thương mại - Du lịch và Giám đốc Sở Nội vụ.</w:t>
      </w:r>
    </w:p>
    <w:p>
      <w:r>
        <w:rPr>
          <w:b/>
          <w:i w:val="0"/>
        </w:rPr>
        <w:t>QUYẾT ĐỊNH:</w:t>
      </w:r>
    </w:p>
    <w:p>
      <w:pPr>
        <w:jc w:val="both"/>
      </w:pPr>
      <w:r>
        <w:rPr>
          <w:b/>
          <w:i w:val="0"/>
        </w:rPr>
        <w:t xml:space="preserve">Điều 1: </w:t>
      </w:r>
      <w:r>
        <w:rPr>
          <w:b w:val="0"/>
          <w:i w:val="0"/>
        </w:rPr>
        <w:t>Kiện toàn Ban chỉ đạo về du lịch của tỉnh gồm các ông (bà) sau:</w:t>
      </w:r>
    </w:p>
    <w:p>
      <w:pPr>
        <w:jc w:val="both"/>
      </w:pPr>
      <w:r>
        <w:rPr>
          <w:b w:val="0"/>
          <w:i w:val="0"/>
        </w:rPr>
        <w:t>1- Phó Chủ tịch Uỷ ban nhân dân tỉnh phụ trách kinh tế tổng hợp, làm Trưởng Ban.</w:t>
      </w:r>
    </w:p>
    <w:p>
      <w:pPr>
        <w:jc w:val="both"/>
      </w:pPr>
      <w:r>
        <w:rPr>
          <w:b w:val="0"/>
          <w:i w:val="0"/>
        </w:rPr>
        <w:t>2- Giám đốc Sở Thương mại - Du lịch làm Phó Trưởng ban.</w:t>
      </w:r>
    </w:p>
    <w:p>
      <w:pPr>
        <w:jc w:val="both"/>
      </w:pPr>
      <w:r>
        <w:rPr>
          <w:b w:val="0"/>
          <w:i w:val="0"/>
        </w:rPr>
        <w:t>3- Một đại diện lãnh đạo các cơ quan sau làm Uỷ viên: Sở Văn hoá Thông tin, Sở Tài chính, Sở Kế hoạch - Đầu tư, Công an tỉnh, Bộ Chỉ huy quân sự tỉnh, Trung tâm Xúc tiến đầu tư Thương mại tỉnh, Phòng Ngoại vụ - Văn phòng Uỷ ban nhân dân tỉnh, Công ty Dịch vụ du lịch tỉnh.</w:t>
      </w:r>
    </w:p>
    <w:p>
      <w:pPr>
        <w:jc w:val="both"/>
      </w:pPr>
      <w:r>
        <w:rPr>
          <w:b/>
          <w:i w:val="0"/>
        </w:rPr>
        <w:t xml:space="preserve">Điều 2: </w:t>
      </w:r>
      <w:r>
        <w:rPr>
          <w:b w:val="0"/>
          <w:i w:val="0"/>
        </w:rPr>
        <w:t>Ban chỉ đạo về du lịch của tỉnh có nhiệm vụ giúp Uỷ ban nhân dân tỉnh chỉ đạo và điều phối hoạt động của các sở, ngành, Uỷ ban nhân dân các huyện, thị xã, thành phố trong việc xây dựng và tổ chức triển khai thực hiện các chương trình, kế hoạch phát triển du lịch của tỉnh trong từng giai đoạn phát triển kinh tế.</w:t>
      </w:r>
    </w:p>
    <w:p>
      <w:pPr>
        <w:jc w:val="both"/>
      </w:pPr>
      <w:r>
        <w:rPr>
          <w:b w:val="0"/>
          <w:i w:val="0"/>
        </w:rPr>
        <w:t xml:space="preserve">Nhiệm vụ cụ thể của Ban chỉ đạo thực hiện theo hướng dẫn của các cơ quan chức năng cấp trên. </w:t>
      </w:r>
    </w:p>
    <w:p>
      <w:pPr>
        <w:jc w:val="both"/>
      </w:pPr>
      <w:r>
        <w:rPr>
          <w:b w:val="0"/>
          <w:i w:val="0"/>
        </w:rPr>
        <w:t>Cơ quan thường trực của Ban chỉ đạo là Sở Thương mại - Du lịch, có trách nhiệm xây dựng quy chế hoạt động của Ban chỉ đạo, báo cáo Ban chỉ đạo xem xét, thông qua, đồng thời đảm bảo các điều kiện để Ban hoàn thành tốt nhiệm vụ.</w:t>
      </w:r>
    </w:p>
    <w:p>
      <w:pPr>
        <w:jc w:val="both"/>
      </w:pPr>
      <w:r>
        <w:rPr>
          <w:b/>
          <w:i w:val="0"/>
        </w:rPr>
        <w:t xml:space="preserve">Điều 3: </w:t>
      </w:r>
      <w:r>
        <w:rPr>
          <w:b w:val="0"/>
          <w:i w:val="0"/>
        </w:rPr>
        <w:t>Trưởng Ban chỉ đạo sử dụng con dấu của Uỷ ban nhân dân tỉnh, Phó trưởng Ban chỉ đạo sử dụng con dấu của Sở Thương mại Du lịch.</w:t>
      </w:r>
    </w:p>
    <w:p>
      <w:pPr>
        <w:jc w:val="both"/>
      </w:pPr>
      <w:r>
        <w:rPr>
          <w:b/>
          <w:i w:val="0"/>
        </w:rPr>
        <w:t xml:space="preserve">Điều 4: </w:t>
      </w:r>
      <w:r>
        <w:rPr>
          <w:b w:val="0"/>
          <w:i w:val="0"/>
        </w:rPr>
        <w:t>Quyết định này thay thế Quyết định số 05/2000/QĐ-UB ngày 25/1/2000 của Uỷ ban nhân dân tỉnh thành lập Ban chỉ đạo về du lịch của tỉnh, Quyết định số 317/QĐ-UB ngày 19/7/2000 của Uỷ ban nhân dân tỉnh về việc kiện toàn Ban chỉ đạo về du lịch của tỉnh và có hiệu lực thi hành sau 10 ngày kể từ ngày ký.</w:t>
      </w:r>
    </w:p>
    <w:p>
      <w:pPr>
        <w:jc w:val="both"/>
      </w:pPr>
      <w:r>
        <w:rPr>
          <w:b/>
          <w:i w:val="0"/>
        </w:rPr>
        <w:t xml:space="preserve">Điều 5: </w:t>
      </w:r>
      <w:r>
        <w:rPr>
          <w:b w:val="0"/>
          <w:i w:val="0"/>
        </w:rPr>
        <w:t>Các ông (bà): Chánh Văn phòng Uỷ ban nhân dân tỉnh, Giám đốc Sở Nội vụ, Giám đốc Sở Thương mại - Du lịch; Thủ trưởng các cơ quan, đơn vị có liên quan và các ông (bà) tại Điều 1 chịu trách nhiệm thi hành Quyết định này./.</w:t>
      </w:r>
    </w:p>
    <w:p>
      <w:r>
        <w:rPr>
          <w:b w:val="0"/>
          <w:i w:val="0"/>
        </w:rPr>
        <w:br/>
      </w:r>
      <w:r>
        <w:rPr>
          <w:b/>
          <w:i w:val="0"/>
        </w:rPr>
        <w:br/>
      </w:r>
      <w:r>
        <w:rPr>
          <w:b/>
          <w:i w:val="0"/>
        </w:rPr>
        <w:br/>
      </w:r>
      <w:r>
        <w:rPr>
          <w:b/>
          <w:i w:val="0"/>
        </w:rPr>
        <w:t>TM.</w:t>
      </w:r>
      <w:r>
        <w:rPr>
          <w:b/>
          <w:i w:val="0"/>
        </w:rPr>
        <w:t xml:space="preserve"> </w:t>
      </w:r>
      <w:r>
        <w:rPr>
          <w:b/>
          <w:i w:val="0"/>
        </w:rPr>
        <w:t>ỦY BAN NHÂN DÂN TỈNH</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i w:val="0"/>
        </w:rPr>
        <w:br/>
      </w:r>
      <w:r>
        <w:rPr>
          <w:b/>
          <w:i w:val="0"/>
        </w:rPr>
        <w:t>TM.</w:t>
      </w:r>
      <w:r>
        <w:rPr>
          <w:b/>
          <w:i w:val="0"/>
        </w:rPr>
        <w:t xml:space="preserve"> </w:t>
      </w:r>
      <w:r>
        <w:rPr>
          <w:b/>
          <w:i w:val="0"/>
        </w:rPr>
        <w:t>ỦY BAN NHÂN DÂN TỈNH</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TM.</w:t>
      </w:r>
      <w:r>
        <w:rPr>
          <w:b w:val="0"/>
          <w:i w:val="0"/>
        </w:rPr>
        <w:t xml:space="preserve"> </w:t>
      </w:r>
      <w:r>
        <w:rPr>
          <w:b/>
          <w:i w:val="0"/>
        </w:rPr>
        <w:t>ỦY BAN NHÂN DÂN TỈNH</w:t>
      </w:r>
      <w:r>
        <w:rPr>
          <w:b/>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