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61/2015/QĐ-UBND Ban hành Bộ đơn giá hoạt động quan trắc và phân tích môi trường trên địa bàn tỉnh Nghệ An</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TỈNH NGHỆ AN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61/2015/QĐ-UBND</w:t>
        <w:br/>
        <w:t xml:space="preserve">     </w:t>
      </w:r>
      <w:r>
        <w:rPr>
          <w:b w:val="0"/>
          <w:i w:val="0"/>
        </w:rPr>
        <w:br/>
      </w:r>
      <w:r>
        <w:rPr>
          <w:b w:val="0"/>
          <w:i/>
        </w:rPr>
        <w:br/>
        <w:t xml:space="preserve">      Nghệ An, ngày 20 tháng 10 năm 2015</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NGHỆ AN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61/2015/QĐ-UBND</w:t>
        <w:br/>
        <w:t xml:space="preserve">     </w:t>
      </w:r>
      <w:r>
        <w:rPr>
          <w:b w:val="0"/>
          <w:i w:val="0"/>
        </w:rPr>
        <w:br/>
      </w:r>
      <w:r>
        <w:rPr>
          <w:b w:val="0"/>
          <w:i/>
        </w:rPr>
        <w:br/>
        <w:t xml:space="preserve">      Nghệ An, ngày 20 tháng 10 năm 2015</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NGHỆ AN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NGHỆ AN</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NGHỆ AN</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61/2015/QĐ-UBND</w:t>
        <w:br/>
        <w:t xml:space="preserve">     </w:t>
      </w:r>
      <w:r>
        <w:rPr>
          <w:b w:val="0"/>
          <w:i w:val="0"/>
        </w:rPr>
        <w:br/>
      </w:r>
      <w:r>
        <w:rPr>
          <w:b w:val="0"/>
          <w:i/>
        </w:rPr>
        <w:br/>
        <w:t xml:space="preserve">      Nghệ An, ngày 20 tháng 10 năm 2015</w:t>
        <w:br/>
        <w:t xml:space="preserve">     </w:t>
      </w:r>
      <w:r>
        <w:rPr>
          <w:b w:val="0"/>
          <w:i w:val="0"/>
        </w:rPr>
        <w:br/>
      </w:r>
    </w:p>
    <w:p>
      <w:pPr>
        <w:jc w:val="center"/>
      </w:pPr>
      <w:r>
        <w:rPr>
          <w:b w:val="0"/>
          <w:i w:val="0"/>
        </w:rPr>
        <w:br/>
        <w:t xml:space="preserve">      Số: 61/2015/QĐ-UBND</w:t>
        <w:br/>
        <w:t xml:space="preserve">     </w:t>
      </w:r>
    </w:p>
    <w:p>
      <w:pPr>
        <w:jc w:val="center"/>
      </w:pPr>
      <w:r>
        <w:rPr>
          <w:b w:val="0"/>
          <w:i w:val="0"/>
        </w:rPr>
        <w:br/>
        <w:t xml:space="preserve">      Nghệ An, ngày 20 tháng 10 năm 2015</w:t>
        <w:br/>
        <w:t xml:space="preserve">     </w:t>
      </w:r>
    </w:p>
    <w:p>
      <w:r>
        <w:rPr>
          <w:b/>
          <w:i w:val="0"/>
        </w:rPr>
        <w:t>QUYẾT ĐỊNH</w:t>
      </w:r>
    </w:p>
    <w:p>
      <w:pPr>
        <w:jc w:val="center"/>
      </w:pPr>
      <w:r>
        <w:rPr>
          <w:b/>
          <w:i w:val="0"/>
        </w:rPr>
        <w:t>Ban hành Bộ đơn giá hoạt động quan trắc</w:t>
      </w:r>
    </w:p>
    <w:p>
      <w:pPr>
        <w:jc w:val="center"/>
      </w:pPr>
      <w:r>
        <w:rPr>
          <w:b/>
          <w:i w:val="0"/>
        </w:rPr>
        <w:t>và phân tích môi trường trên địa bàn tỉnh Nghệ An</w:t>
      </w:r>
    </w:p>
    <w:p>
      <w:pPr>
        <w:jc w:val="center"/>
      </w:pPr>
      <w:r>
        <w:rPr>
          <w:b w:val="0"/>
          <w:i w:val="0"/>
        </w:rPr>
        <w:t>___________</w:t>
      </w:r>
    </w:p>
    <w:p>
      <w:r>
        <w:rPr>
          <w:b/>
          <w:i w:val="0"/>
        </w:rPr>
        <w:t>ỦY BAN NHÂN DÂN TỈNH NGHỆ AN</w:t>
      </w:r>
    </w:p>
    <w:p>
      <w:r>
        <w:rPr>
          <w:b w:val="0"/>
          <w:i/>
        </w:rPr>
        <w:t>Căn cứ Luật Tổ chức HĐND và UBND ngày 26/11/2003;</w:t>
      </w:r>
    </w:p>
    <w:p>
      <w:r>
        <w:rPr>
          <w:b w:val="0"/>
          <w:i/>
        </w:rPr>
        <w:t>Căn cứ Luật Bảo vệ môi trường ngày 23/6/2014;</w:t>
      </w:r>
    </w:p>
    <w:p>
      <w:r>
        <w:rPr>
          <w:b w:val="0"/>
          <w:i/>
        </w:rPr>
        <w:t>Căn cứ Luật Giá ngày 20/6/2012;</w:t>
      </w:r>
    </w:p>
    <w:p>
      <w:r>
        <w:rPr>
          <w:b w:val="0"/>
          <w:i/>
        </w:rPr>
        <w:t>Căn cứ Nghị định của Chính phủ: số 204/2004/NĐ-CP ngày 14/12/2004 về chế độ tiền lương đối với cán bộ, công chức, viên chức và lực lượng vũ trang; số 205/2004/NĐ-CP ngày/14/12/2004 Quy định hệ thống thang lương, bảng lương và chế độ phụ cấp lương trong các Công ty Nhà nước; số 177/2013/NĐ-CP ngày 14/11/2013 Quy định chi tiết và hướng dẫn thi hành một số điều của Luật Giá;</w:t>
      </w:r>
    </w:p>
    <w:p>
      <w:r>
        <w:rPr>
          <w:b w:val="0"/>
          <w:i/>
        </w:rPr>
        <w:t>Căn cứ Thông tư Liên tịch số 01/2008/TTLT-BTNMT-BTC ngày 29/4/2008 của Bộ Tài nguyên và Môi trường - Bộ Tài chính về hướng dẫn lập dự toán công tác bảo vệ môi trường thuộc nguồn kinh phí sự nghiệp môi trường;</w:t>
      </w:r>
    </w:p>
    <w:p>
      <w:r>
        <w:rPr>
          <w:b w:val="0"/>
          <w:i/>
        </w:rPr>
        <w:t>Căn cứ Thông tư Liên tịch số 30/2010/TTLT-BTNMT-BNV ngày 25/11/2010 của Bộ Tài nguyên và Môi trường – Bộ Nội vụ hướng dẫn chuyển xếp ngạch và xếp lương viên chức ngành tài nguyên và môi trường;</w:t>
      </w:r>
    </w:p>
    <w:p>
      <w:r>
        <w:rPr>
          <w:b w:val="0"/>
          <w:i/>
        </w:rPr>
        <w:t>Căn cứ Thông tư số 07/2013/TT-BNV ngày 31/7/2013 của Bộ Nội vụ hướng dẫn thực hiện mức lương cơ sở đối với các đối tượng hưởng lương, phụ cấp lương trong các cơ quan, đơn vị sự nghiệp công lập của Đảng, Nhà nước, tổ chức chính trị - xã hội và hội có tính chất đặc thù;</w:t>
      </w:r>
    </w:p>
    <w:p>
      <w:r>
        <w:rPr>
          <w:b w:val="0"/>
          <w:i/>
        </w:rPr>
        <w:t>Căn cứ Thông tư số 45/2013/TT-BTC ngày 25/4/2013 của Bộ Tài chính hướng dẫn chế độ quản lý, sử dụng và trích khấu hao tài sản cố định;</w:t>
      </w:r>
    </w:p>
    <w:p>
      <w:r>
        <w:rPr>
          <w:b w:val="0"/>
          <w:i/>
        </w:rPr>
        <w:t>Căn cứ Thông tư của Bộ Tài nguyên và Môi trường: số 18/2014/TT-BTNMT ngày 22/4/2014 Ban hành Định mức kinh tế – kỹ thuật hoạt động quan trắc môi trường không khí xung quanh, nước mặt lục địa, đất, nước dưới đất, nước mưa axit, nước biển, khí thải công nghiệp và phóng xạ; số 41/2014/TT-BTNMT ngày 24/7/2014 Quy định chế độ phụ cấp trách nhiệm công việc, phụ cấp lưu động và phụ cấp độc hại, nguy hiểm đối với viên chức quan trắc tài nguyên môi trường; điều tra cơ bản tài nguyên nước;</w:t>
      </w:r>
    </w:p>
    <w:p>
      <w:r>
        <w:rPr>
          <w:b w:val="0"/>
          <w:i/>
        </w:rPr>
        <w:t>Trên cơ sở Công văn số 2950/BTNMT-TC ngày 21/7/2015 của Bộ Tài nguyên và Môi trường về thẩm quyền ban hành bộ đơn giá quan trắc và phân tích môi trường trên địa bàn tỉnh Nghệ An;</w:t>
      </w:r>
    </w:p>
    <w:p>
      <w:r>
        <w:rPr>
          <w:b w:val="0"/>
          <w:i/>
        </w:rPr>
        <w:t>Xét đề nghị của Giám đốc Sở Tài nguyên và Môi trường tại Tờ trình số 4834/TTr-STNMT ngày 01/10/2015,</w:t>
      </w:r>
    </w:p>
    <w:p>
      <w:r>
        <w:rPr>
          <w:b/>
          <w:i w:val="0"/>
        </w:rPr>
        <w:t>QUYẾT ĐỊNH:</w:t>
      </w:r>
    </w:p>
    <w:p>
      <w:r>
        <w:rPr>
          <w:b/>
          <w:i w:val="0"/>
        </w:rPr>
        <w:t>Điều 1. Phạm vi điều chỉnh và đối tượng áp dụng:</w:t>
      </w:r>
    </w:p>
    <w:p>
      <w:r>
        <w:rPr>
          <w:b w:val="0"/>
          <w:i w:val="0"/>
        </w:rPr>
        <w:t>1. Phạm vi điều chỉnh</w:t>
      </w:r>
    </w:p>
    <w:p>
      <w:r>
        <w:rPr>
          <w:b w:val="0"/>
          <w:i w:val="0"/>
        </w:rPr>
        <w:t>Ban hành kèm theo Quyết định này Bộ đơn giá hoạt động quan trắc và phân tích môi trường trên địa bàn tỉnh Nghệ An bao gồm các nội dung sau: quan trắc và phân tích môi trường không khí xung quanh, tiếng ồn, nước mặt lục địa, đất, nước dưới đất, nước mưa axit, nước biển, khí thải công nghiệp và phóng xạ. Đối với các hoạt động quan trắc và phân tích môi trường khác, chưa có trong Bộ đơn giá này được áp dụng đơn giá tương đương theo cùng phương pháp phân tích, đảm bảo không cao hơn chế độ chi tiêu tài chính hiện hành.</w:t>
      </w:r>
    </w:p>
    <w:p>
      <w:r>
        <w:rPr>
          <w:b w:val="0"/>
          <w:i w:val="0"/>
        </w:rPr>
        <w:t>2. Đối tượng áp dụng</w:t>
      </w:r>
    </w:p>
    <w:p>
      <w:r>
        <w:rPr>
          <w:b w:val="0"/>
          <w:i w:val="0"/>
        </w:rPr>
        <w:t>a) Quyết định này áp dụng đối với các doanh nghiệp nhà nước, đơn vị sự nghiệp công lập, các tổ chức và cá nhân có liên quan thực hiện các dự án, nhiệm vụ hoạt động quan trắc và phân tích môi trường trên địa bàn tỉnh Nghệ An thuộc nguồn vốn ngân sách nhà nước.</w:t>
      </w:r>
    </w:p>
    <w:p>
      <w:r>
        <w:rPr>
          <w:b w:val="0"/>
          <w:i w:val="0"/>
        </w:rPr>
        <w:t>b) Khuyến khích các tổ chức, cá nhân thực hiện các dự án, nhiệm vụ hoạt động quan trắc và phân tích môi trường trên địa bàn tỉnh Nghệ An ngoài nguồn vốn ngân sách nhà nước áp dụng đơn giá ban hành kèm theo Quyết định này.</w:t>
      </w:r>
    </w:p>
    <w:p>
      <w:r>
        <w:rPr>
          <w:b/>
          <w:i w:val="0"/>
        </w:rPr>
        <w:t>Điều 2. Nguyên tắc áp dụng Bộ đơn giá:</w:t>
      </w:r>
    </w:p>
    <w:p>
      <w:r>
        <w:rPr>
          <w:b w:val="0"/>
          <w:i w:val="0"/>
        </w:rPr>
        <w:t>1. Bộ đơn giá tại Quyết định này không bao gồm thuế giá trị gia tăng.</w:t>
      </w:r>
    </w:p>
    <w:p>
      <w:r>
        <w:rPr>
          <w:b w:val="0"/>
          <w:i w:val="0"/>
        </w:rPr>
        <w:t>2. Đối với đơn vị sự nghiệp được nhà nước cấp kinh phí hoạt động thường xuyên, trong đơn giá sản phẩm phải trừ chi phí thường xuyên ngân sách đã bố trí cho số cán bộ, nhân viên trong thời gian tham gia thực hiện nhiệm vụ và loại trừ thuế giá trị gia tăng của các loại vật liệu, công cụ, dụng cụ, thiết bị, năng lượng đầu vào.</w:t>
      </w:r>
    </w:p>
    <w:p>
      <w:r>
        <w:rPr>
          <w:b w:val="0"/>
          <w:i w:val="0"/>
        </w:rPr>
        <w:t>3. Đối với sản phẩm quan trắc và phân tích môi trường có sử dụng các dữ liệu đã có thì không tính trong đơn giá các khoản chi phí đã đầu tư để tạo ra dữ liệu, sản phẩm từ những dự án về quan trắc và các dự án khác có liên quan.</w:t>
      </w:r>
    </w:p>
    <w:p>
      <w:r>
        <w:rPr>
          <w:b/>
          <w:i w:val="0"/>
        </w:rPr>
        <w:t>Điều 3. Hiệu lực thi hành:</w:t>
      </w:r>
    </w:p>
    <w:p>
      <w:r>
        <w:rPr>
          <w:b w:val="0"/>
          <w:i w:val="0"/>
        </w:rPr>
        <w:t>Quyết định này có hiệu lực thi hành sau 10 ngày kể từ ngày ký, thay thế Quyết định số 46/QĐ-UBND ngày 23/9/2011 của UBND tỉnh Nghệ An ban hành Bộ đơn giá phân tích môi trường không khí xung quanh; khí thải; nước mặt lục địa; nước dưới đất; nước thải và nước ven bờ trên địa bàn tỉnh Nghệ An.</w:t>
      </w:r>
    </w:p>
    <w:p>
      <w:r>
        <w:rPr>
          <w:b/>
          <w:i w:val="0"/>
        </w:rPr>
        <w:t>Điều 4. Tổ chức thực hiện</w:t>
      </w:r>
    </w:p>
    <w:p>
      <w:r>
        <w:rPr>
          <w:b w:val="0"/>
          <w:i w:val="0"/>
        </w:rPr>
        <w:t>1. Chánh Văn phòng UBND tỉnh; Giám đốc các Sở, Thủ trưởng các ban, ngành cấp tỉnh; Chủ tịch UBND các huyện, thành phố, thị xã và các tổ chức, cá nhân có liên quan chịu trách nhiệm thi hành Quyết định này.</w:t>
      </w:r>
    </w:p>
    <w:p>
      <w:r>
        <w:rPr>
          <w:b w:val="0"/>
          <w:i w:val="0"/>
        </w:rPr>
        <w:t>2. Giao Sở Tài nguyên và Môi trường hướng dẫn, tổ chức và kiểm tra việc thực hiện. Tổng hợp những khó khăn, vướng mắc và đề xuất trình UBND tỉnh xem xét, quyết định sửa đổi, bổ sung hoặc thay thế cho phù hợp với quy định pháp luật hiện hành../.</w:t>
      </w:r>
    </w:p>
    <w:p>
      <w:r>
        <w:rPr>
          <w:b w:val="0"/>
          <w:i w:val="0"/>
        </w:rPr>
        <w:br/>
      </w:r>
      <w:r>
        <w:rPr>
          <w:b w:val="0"/>
          <w:i w:val="0"/>
        </w:rPr>
        <w:br/>
      </w:r>
      <w:r>
        <w:rPr>
          <w:b/>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i w:val="0"/>
        </w:rPr>
        <w:br/>
      </w:r>
      <w:r>
        <w:rPr>
          <w:b/>
          <w:i/>
        </w:rPr>
        <w:br/>
        <w:t xml:space="preserve">      (Đã ký)</w:t>
        <w:br/>
        <w:t xml:space="preserve">     </w:t>
      </w:r>
      <w:r>
        <w:rPr>
          <w:b/>
          <w:i w:val="0"/>
        </w:rPr>
        <w:br/>
      </w:r>
      <w:r>
        <w:rPr>
          <w:b/>
          <w:i w:val="0"/>
        </w:rPr>
        <w:br/>
        <w:t xml:space="preserve">      Đinh Viết Hồng</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i w:val="0"/>
        </w:rPr>
        <w:br/>
      </w:r>
      <w:r>
        <w:rPr>
          <w:b/>
          <w:i/>
        </w:rPr>
        <w:br/>
        <w:t xml:space="preserve">      (Đã ký)</w:t>
        <w:br/>
        <w:t xml:space="preserve">     </w:t>
      </w:r>
      <w:r>
        <w:rPr>
          <w:b/>
          <w:i w:val="0"/>
        </w:rPr>
        <w:br/>
      </w:r>
      <w:r>
        <w:rPr>
          <w:b/>
          <w:i w:val="0"/>
        </w:rPr>
        <w:br/>
        <w:t xml:space="preserve">      Đinh Viết Hồng</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val="0"/>
          <w:i w:val="0"/>
        </w:rPr>
        <w:br/>
      </w:r>
      <w:r>
        <w:rPr>
          <w:b/>
          <w:i/>
        </w:rPr>
        <w:br/>
        <w:t xml:space="preserve">      (Đã ký)</w:t>
        <w:br/>
        <w:t xml:space="preserve">     </w:t>
      </w:r>
      <w:r>
        <w:rPr>
          <w:b w:val="0"/>
          <w:i w:val="0"/>
        </w:rPr>
        <w:br/>
      </w:r>
      <w:r>
        <w:rPr>
          <w:b/>
          <w:i w:val="0"/>
        </w:rPr>
        <w:br/>
        <w:t xml:space="preserve">      Đinh Viết Hồng</w:t>
        <w:br/>
        <w:t xml:space="preserve">     </w:t>
      </w:r>
      <w:r>
        <w:rPr>
          <w:b w:val="0"/>
          <w:i w:val="0"/>
        </w:rPr>
        <w:br/>
      </w:r>
    </w:p>
    <w:p>
      <w:r>
        <w:rPr>
          <w:b w:val="0"/>
          <w:i w:val="0"/>
        </w:rPr>
        <w:br/>
        <w:t xml:space="preserve">      TM. ỦY BAN NHÂN DÂN </w:t>
        <w:br/>
        <w:t xml:space="preserve">      </w:t>
      </w:r>
      <w:r>
        <w:br/>
      </w:r>
      <w:r>
        <w:rPr>
          <w:b w:val="0"/>
          <w:i w:val="0"/>
        </w:rPr>
        <w:br/>
        <w:t xml:space="preserve">       KT. CHỦ TỊCH </w:t>
        <w:br/>
        <w:t xml:space="preserve">      </w:t>
      </w:r>
      <w:r>
        <w:br/>
      </w:r>
      <w:r>
        <w:rPr>
          <w:b w:val="0"/>
          <w:i w:val="0"/>
        </w:rPr>
        <w:br/>
        <w:t xml:space="preserve">       PHÓ CHỦ TỊCH</w:t>
        <w:br/>
        <w:t xml:space="preserve">     </w:t>
      </w:r>
    </w:p>
    <w:p>
      <w:r>
        <w:rPr>
          <w:b w:val="0"/>
          <w:i w:val="0"/>
        </w:rPr>
        <w:br/>
        <w:t xml:space="preserve">      (Đã ký)</w:t>
        <w:br/>
        <w:t xml:space="preserve">     </w:t>
      </w:r>
    </w:p>
    <w:p>
      <w:r>
        <w:rPr>
          <w:b w:val="0"/>
          <w:i w:val="0"/>
        </w:rPr>
        <w:br/>
        <w:t xml:space="preserve">      Đinh Viết Hồng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