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62/2023/NQ-HĐND Quy định nội dung, mức chi thực hiện Đề án "Xây dựng xã hội học tập giai đoạn 2021-2030" trên địa bàn tỉnh Yên Bái</w:t>
      </w:r>
    </w:p>
    <w:p>
      <w:r>
        <w:rPr>
          <w:b w:val="0"/>
          <w:i w:val="0"/>
        </w:rPr>
        <w:br/>
      </w:r>
      <w:r>
        <w:rPr>
          <w:b w:val="0"/>
          <w:i w:val="0"/>
        </w:rPr>
        <w:br/>
      </w:r>
      <w:r>
        <w:rPr>
          <w:b/>
          <w:i w:val="0"/>
        </w:rPr>
        <w:t xml:space="preserve">HỘI ĐỒNG NHÂN DÂN </w:t>
      </w:r>
      <w:r>
        <w:rPr>
          <w:b w:val="0"/>
          <w:i w:val="0"/>
        </w:rPr>
        <w:br/>
      </w:r>
      <w:r>
        <w:rPr>
          <w:b/>
          <w:i w:val="0"/>
        </w:rPr>
        <w:t>TỈNH YÊN BÁI</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 xml:space="preserve">HỘI ĐỒNG NHÂN DÂN </w:t>
      </w:r>
      <w:r>
        <w:rPr>
          <w:b w:val="0"/>
          <w:i w:val="0"/>
        </w:rPr>
        <w:br/>
      </w:r>
      <w:r>
        <w:rPr>
          <w:b/>
          <w:i w:val="0"/>
        </w:rPr>
        <w:t>TỈNH YÊN BÁI</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62/2023/NQ-HĐND</w:t>
      </w:r>
      <w:r>
        <w:rPr>
          <w:b w:val="0"/>
          <w:i w:val="0"/>
        </w:rPr>
        <w:br/>
      </w:r>
      <w:r>
        <w:rPr>
          <w:b w:val="0"/>
          <w:i w:val="0"/>
        </w:rPr>
        <w:br/>
      </w:r>
      <w:r>
        <w:rPr>
          <w:b w:val="0"/>
          <w:i w:val="0"/>
        </w:rPr>
        <w:br/>
      </w:r>
      <w:r>
        <w:rPr>
          <w:b w:val="0"/>
          <w:i/>
        </w:rPr>
        <w:t>Yên Bái, ngày 08 tháng 12 năm 2023</w:t>
      </w:r>
      <w:r>
        <w:rPr>
          <w:b w:val="0"/>
          <w:i w:val="0"/>
        </w:rPr>
        <w:br/>
      </w:r>
      <w:r>
        <w:rPr>
          <w:b w:val="0"/>
          <w:i w:val="0"/>
        </w:rPr>
        <w:br/>
      </w:r>
    </w:p>
    <w:p>
      <w:r>
        <w:rPr>
          <w:b w:val="0"/>
          <w:i w:val="0"/>
        </w:rPr>
        <w:br/>
      </w:r>
      <w:r>
        <w:rPr>
          <w:b w:val="0"/>
          <w:i w:val="0"/>
        </w:rPr>
        <w:t>Số: 62/2023/NQ-HĐND</w:t>
      </w:r>
      <w:r>
        <w:rPr>
          <w:b w:val="0"/>
          <w:i w:val="0"/>
        </w:rPr>
        <w:br/>
      </w:r>
    </w:p>
    <w:p>
      <w:r>
        <w:rPr>
          <w:b w:val="0"/>
          <w:i w:val="0"/>
        </w:rPr>
        <w:br/>
      </w:r>
      <w:r>
        <w:rPr>
          <w:b w:val="0"/>
          <w:i/>
        </w:rPr>
        <w:t>Yên Bái, ngày 08 tháng 12 năm 2023</w:t>
      </w:r>
      <w:r>
        <w:rPr>
          <w:b w:val="0"/>
          <w:i w:val="0"/>
        </w:rPr>
        <w:br/>
      </w:r>
    </w:p>
    <w:p>
      <w:pPr>
        <w:jc w:val="center"/>
      </w:pPr>
      <w:r>
        <w:rPr>
          <w:b/>
          <w:i w:val="0"/>
        </w:rPr>
        <w:t>NGHỊ QUYẾT</w:t>
      </w:r>
    </w:p>
    <w:p>
      <w:pPr>
        <w:jc w:val="center"/>
      </w:pPr>
      <w:r>
        <w:rPr>
          <w:b/>
          <w:i w:val="0"/>
        </w:rPr>
        <w:t>Quy định nội dung, mức chi thực hiện Đề án "Xây dựng xã hội học tập</w:t>
      </w:r>
    </w:p>
    <w:p>
      <w:pPr>
        <w:jc w:val="center"/>
      </w:pPr>
      <w:r>
        <w:rPr>
          <w:b/>
          <w:i w:val="0"/>
        </w:rPr>
        <w:t>giai đoạn 2021 - 2030" trên địa bàn tỉnh Yên Bái</w:t>
      </w:r>
    </w:p>
    <w:p>
      <w:pPr>
        <w:jc w:val="center"/>
      </w:pPr>
      <w:r>
        <w:rPr>
          <w:b/>
          <w:i w:val="0"/>
        </w:rPr>
        <w:t>HỘI ĐỒNG NHÂN DÂN TỈNH YÊN BÁI</w:t>
      </w:r>
    </w:p>
    <w:p>
      <w:pPr>
        <w:jc w:val="center"/>
      </w:pPr>
      <w:r>
        <w:rPr>
          <w:b/>
          <w:i w:val="0"/>
        </w:rPr>
        <w:t>KHÓA XIX - KỲ HỌP THỨ 14</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Giáo dục ngày 14 tháng 6 năm 2019;</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w:t>
      </w:r>
    </w:p>
    <w:p>
      <w:r>
        <w:rPr>
          <w:b w:val="0"/>
          <w:i/>
        </w:rPr>
        <w:t>Căn cứ Nghị định số 163/2016/NĐ-CP ngày 21 tháng 12 năm 2016 của Chính phủ quy định chi tiết thi hành một số điều của Luật Ngân sách Nhà nước;</w:t>
      </w:r>
    </w:p>
    <w:p>
      <w:r>
        <w:rPr>
          <w:b w:val="0"/>
          <w:i/>
        </w:rPr>
        <w:t>Căn cứ Thông tư số 17/2022/TT-BTC ngày 08 tháng 3 năm 2022 của Bộ trưởng Bộ Tài chính hướng dẫn quản lý và sử dụng kinh phí thực hiện Đề án "Xây dựng xã hội học tập giai đoạn 2021 - 2030";</w:t>
      </w:r>
    </w:p>
    <w:p>
      <w:r>
        <w:rPr>
          <w:b w:val="0"/>
          <w:i/>
        </w:rPr>
        <w:t>Xét Tờ trình số 110/TTr-UBND ngày 27 tháng 11 năm 2023 của Ủy ban nhân dân tỉnh Yên Bái về việc ban hành Nghị quyết của Hội đồng nhân dân tỉnh quy định mức chi thực hiện Đề án "Xây dựng xã hội học tập giai đoạn 2021-2030" trên địa bàn tỉnh Yên Bái; Báo cáo thẩm tra số 190/BC-BVHXH ngày 05 tháng 12 năm 2023 của Ban Văn hóa - Xã hội Hội đồng nhân dân tỉnh; ý kiến thảo luận của đại biểu Hội đồng nhân dân tỉnh tại kỳ họp.</w:t>
      </w:r>
    </w:p>
    <w:p>
      <w:pPr>
        <w:jc w:val="center"/>
      </w:pPr>
      <w:r>
        <w:rPr>
          <w:b/>
          <w:i w:val="0"/>
        </w:rPr>
        <w:t>QUYẾT NGHỊ:</w:t>
      </w:r>
    </w:p>
    <w:p>
      <w:r>
        <w:rPr>
          <w:b/>
          <w:i w:val="0"/>
        </w:rPr>
        <w:t>Điều 1: Phạm vi điều chỉnh và đối tượng áp dụng</w:t>
      </w:r>
    </w:p>
    <w:p>
      <w:r>
        <w:rPr>
          <w:b w:val="0"/>
          <w:i w:val="0"/>
        </w:rPr>
        <w:t>1. Phạm vi điều chỉnh</w:t>
      </w:r>
    </w:p>
    <w:p>
      <w:r>
        <w:rPr>
          <w:b w:val="0"/>
          <w:i w:val="0"/>
        </w:rPr>
        <w:t xml:space="preserve">a) Nghị quyết này quy định nội dung, mức chi thực hiện Đề án "Xây dựng xã hội học tập giai đoạn 2021-2030" trên địa bàn tỉnh Yên Bái; </w:t>
      </w:r>
    </w:p>
    <w:p>
      <w:r>
        <w:rPr>
          <w:b w:val="0"/>
          <w:i w:val="0"/>
        </w:rPr>
        <w:t>b) Các nội dung khác không quy định tại Nghị quyết này được thực hiện theo quy định tại Thông tư số 17/2022/TT-BTC ngày 08 tháng 3 năm 2022 của Bộ trưởng Bộ Tài chính hướng dẫn quản lý và sử dụng kinh phí thực hiện Đề án "Xây dựng xã hội học tập giai đoạn 2021-2030".</w:t>
      </w:r>
    </w:p>
    <w:p>
      <w:r>
        <w:rPr>
          <w:b w:val="0"/>
          <w:i w:val="0"/>
        </w:rPr>
        <w:t>2. Đối tượng áp dụng</w:t>
      </w:r>
    </w:p>
    <w:p>
      <w:r>
        <w:rPr>
          <w:b w:val="0"/>
          <w:i w:val="0"/>
        </w:rPr>
        <w:t>Các cơ quan, tổ chức, cá nhân có liên quan đến quản lý, sử dụng kinh phí thực hiện Đề án "Xây dựng xã hội học tập giai đoạn 2021-2030" trên địa bàn tỉnh Yên Bái.</w:t>
      </w:r>
    </w:p>
    <w:p>
      <w:r>
        <w:rPr>
          <w:b/>
          <w:i w:val="0"/>
        </w:rPr>
        <w:t xml:space="preserve">Điều 2. Nội dung, mức chi thực hiện Đề án "Xây dựng xã hội học tập giai đoạn 2021-2030"  </w:t>
      </w:r>
    </w:p>
    <w:p>
      <w:r>
        <w:rPr>
          <w:b w:val="0"/>
          <w:i w:val="0"/>
        </w:rPr>
        <w:t>l. Chi 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 Thực hiện theo quy định tại Nghị quyết số 61/NQ-HĐND ngày 08 tháng 12 năm 2023 của Hội đồng nhân dân tỉnh quy định mức chi bảo đảm cho công tác phổ biến, giáo dục pháp luật, chuẩn tiếp cận pháp luật và hòa giải cơ sở trên địa bàn tỉnh Yên Bái.</w:t>
      </w:r>
    </w:p>
    <w:p>
      <w:r>
        <w:rPr>
          <w:b w:val="0"/>
          <w:i w:val="0"/>
        </w:rPr>
        <w:t>2. Chi công tác phí, chi thực hiện các nhiệm vụ kiểm tra, giám sát việc thực hiện Đề án tại địa phương, học tập kinh nghiệm mô hình xây dựng xã hội học tập hiệu quả trong nước; chi tổ chức các cuộc họp, hội nghị sơ kết, tổng kết các cấp ở địa phương: Thực hiện theo quy định tại Nghị quyết số 26/2017/NQ-HĐND ngày 25 tháng 7 năm 2017 của Hội đồng nhân dân tỉnh ban hành quy định về chế độ công tác phí, chế độ chi tổ chức hội nghị trên địa bàn tỉnh Yên Bái.</w:t>
      </w:r>
    </w:p>
    <w:p>
      <w:r>
        <w:rPr>
          <w:b w:val="0"/>
          <w:i w:val="0"/>
        </w:rPr>
        <w:t>3. Chi đào tạo, bồi dưỡng, tập huấn nâng cao năng lực chuyên môn, nghiệp vụ cho các đối tượng thuộc các hoạt động của Đề án; chi bồi dưỡng cho báo cáo viên, hướng dẫn viên tham gia giảng dạy tại Trung tâm học tập cộng đồng bao gồm công tác chuẩn bị, soạn bài và báo cáo; chi đào tạo bồi dưỡng nâng cao năng lực quản lý của Trung tâm học tập cộng đồng: Thực hiện theo quy định tại Nghị quyết số 28/2023/NQ-HĐND ngày 08 tháng 7 năm 2023 của Hội đồng nhân dân tỉnh Quy định mức chi đào tạo, bồi dưỡng cán bộ, công chức và mức chi hỗ trợ thực hiện cuộc vận động "Toàn dân đoàn kết xây dựng nông thôn mới, đô thị văn minh" trên địa bàn tỉnh Yên Bái.</w:t>
      </w:r>
    </w:p>
    <w:p>
      <w:r>
        <w:rPr>
          <w:b w:val="0"/>
          <w:i w:val="0"/>
        </w:rPr>
        <w:t>4. Chi kiểm tra, đánh giá, xếp loại, công nhận các mô hình học tập, gồm:</w:t>
      </w:r>
    </w:p>
    <w:p>
      <w:r>
        <w:rPr>
          <w:b w:val="0"/>
          <w:i w:val="0"/>
        </w:rPr>
        <w:t>a) Chi tổ chức các cuộc họp, hội nghị trển khai kế hoạch đánh giá, xếp loại, công nhận các mô hình học tập: Thực hiện theo quy định tại Nghị quyết số 26/2017/NQ-HĐND;</w:t>
      </w:r>
    </w:p>
    <w:p>
      <w:r>
        <w:rPr>
          <w:b w:val="0"/>
          <w:i w:val="0"/>
        </w:rPr>
        <w:t>b) Chi điều tra nhu cầ học tập, thu thập minh chứng, chi tổng hợp số liệu, viết báo cáo đánh giá, căn cứ quy mô, tính chất của từng cuộc điều tra, thủ trưởng đơn vị được giao chủ trì thực hiện kiểm tra, đánh giá, xếp loại công nhận các mô hình học tập: Thực hiện theo quy định tại Nghị quyết số 45/2019/NQ-HĐND ngày 29 tháng 11 năm 2019 của Hội đồng nhân dân tỉnh quy định nội dung chi, mức chi của các cuộc điều tra thống kê trên địa bàn tỉnh Yên Bái do ngân sách địa phương bảo đảm.</w:t>
      </w:r>
    </w:p>
    <w:p>
      <w:r>
        <w:rPr>
          <w:b w:val="0"/>
          <w:i w:val="0"/>
        </w:rPr>
        <w:t>5. Chi cho công tác xóa mù chữ và phổ cập giáo dục:</w:t>
      </w:r>
    </w:p>
    <w:p>
      <w:r>
        <w:rPr>
          <w:b w:val="0"/>
          <w:i w:val="0"/>
        </w:rPr>
        <w:t>a) Chi cho các hoạt động điều tra, khảo sát phục vụ công tác xóa mù chữ và phổ cập giáo dục mầm non, phổ cập giáo dục tiểu học và phổ cập giáo dục trung học cơ sở: Thực hiện theo quy định tại Nghị quyết số 45/2019/NQ-HĐND;</w:t>
      </w:r>
    </w:p>
    <w:p>
      <w:r>
        <w:rPr>
          <w:b w:val="0"/>
          <w:i w:val="0"/>
        </w:rPr>
        <w:t>b) Hỗ trợ học phẩm cho học viên các lớp học xóa mù chữ: Thanh toán theo thực tế phát sinh trên cơ sở danh mục tên học phẩm, số lượng học phẩm do Ủy ban nhân dân tỉnh ban hành;</w:t>
      </w:r>
    </w:p>
    <w:p>
      <w:r>
        <w:rPr>
          <w:b w:val="0"/>
          <w:i w:val="0"/>
        </w:rPr>
        <w:t>c) Hỗ trợ kinh phí chi thắp sáng đối với các lớp phổ cập, xóa mù chữ: 5.000 đồng/buổi/lớp;</w:t>
      </w:r>
    </w:p>
    <w:p>
      <w:r>
        <w:rPr>
          <w:b w:val="0"/>
          <w:i w:val="0"/>
        </w:rPr>
        <w:t xml:space="preserve">d) Chi mua sổ sách theo dõi quá trình học tập đối với các lớp học phổ cập, xóa mù chữ: Theo thực tế phát sinh bao gồm: Học bạ 01 quyển/học viên/giai đoạn, sổ tổng hợp đánh giá kết quả giáo dục 01 quyển/lớp/ giai đoạn, sổ chủ nhiệm 01 quyển/lớp/giai đoạn, sổ ghi đầu bài 01 quyển/kỳ học; </w:t>
      </w:r>
    </w:p>
    <w:p>
      <w:r>
        <w:rPr>
          <w:b w:val="0"/>
          <w:i w:val="0"/>
        </w:rPr>
        <w:t>đ) Chi mua sách giáp khoa dùng chung đối với các lớp học phổ cập, xóa mù chữ: Trên cơ sở số học viên tham gia lớp học, thanh toán theo hóa đơn thực tế phát sinh;</w:t>
      </w:r>
    </w:p>
    <w:p>
      <w:r>
        <w:rPr>
          <w:b w:val="0"/>
          <w:i w:val="0"/>
        </w:rPr>
        <w:t>e) Chi hỗ trợ văn phòng phẩm cho giáo viên tham gia giảng dạy các lớp học phổ cập, xóa mù chữ: 300.000 đồng/lớp/kỳ học;</w:t>
      </w:r>
    </w:p>
    <w:p>
      <w:r>
        <w:rPr>
          <w:b w:val="0"/>
          <w:i w:val="0"/>
        </w:rPr>
        <w:t xml:space="preserve">g) Chi hỗ trợ bằng tiền cho người tham gia hoạt động tuyên truyền, huy động người mù chữ, tái mù chữ đến lớp xóa mù chữ: 100.000 đồng/học viên hoàn thành một giai đoạn; </w:t>
      </w:r>
    </w:p>
    <w:p>
      <w:r>
        <w:rPr>
          <w:b w:val="0"/>
          <w:i w:val="0"/>
        </w:rPr>
        <w:t>h) Chi tiền công đối với những người đủ tiêu chuẩn, năng lực tham gia giảng dạy các lớp xóa mù chữ: 100.000 đồng/tiết;</w:t>
      </w:r>
    </w:p>
    <w:p>
      <w:r>
        <w:rPr>
          <w:b w:val="0"/>
          <w:i w:val="0"/>
        </w:rPr>
        <w:t>i) Hỗ trợ chi phí ăn, ở, đi lại cho tình nguyện viên huy động tham gia giảng dạy các lớp xóa mù chữ: Thực hiện theo quy định tại Nghị quyết số 26/2017/NQ-HĐND.</w:t>
      </w:r>
    </w:p>
    <w:p>
      <w:r>
        <w:rPr>
          <w:b/>
          <w:i w:val="0"/>
        </w:rPr>
        <w:t>Điều 3: Kinh phí thực hiện</w:t>
      </w:r>
    </w:p>
    <w:p>
      <w:r>
        <w:rPr>
          <w:b w:val="0"/>
          <w:i w:val="0"/>
        </w:rPr>
        <w:t>Kinh phí được đảm bảo từ nguồn ngân sách nhà nước bảo đảm theo phân cấp hiện hành; nguồn kinh phí huy động từ các nguồn tài trợ, đóng góp của các tổ chức, cá nhân và các nguồn tài trợ hợp pháp khác..</w:t>
      </w:r>
    </w:p>
    <w:p>
      <w:r>
        <w:rPr>
          <w:b/>
          <w:i w:val="0"/>
        </w:rPr>
        <w:t>Điều 4. Tổ chức thực hiện</w:t>
      </w:r>
    </w:p>
    <w:p>
      <w:r>
        <w:rPr>
          <w:b w:val="0"/>
          <w:i w:val="0"/>
        </w:rPr>
        <w:t>l. Giao Ủy ban nhân dân tỉnh tổ chức triển khai thực hiện Nghị quyết.</w:t>
      </w:r>
    </w:p>
    <w:p>
      <w:r>
        <w:rPr>
          <w:b w:val="0"/>
          <w:i w:val="0"/>
        </w:rPr>
        <w:t>2. Giao Thường trực Hội đồng nhân dân tỉnh, các Ban của Hội đồng nhân dân tỉnh, các Tổ đại biểu và đại biểu Hội đồng nhân dân tỉnh giám sát việc thực hiện Nghị quyết..</w:t>
      </w:r>
    </w:p>
    <w:p>
      <w:r>
        <w:rPr>
          <w:b w:val="0"/>
          <w:i w:val="0"/>
        </w:rPr>
        <w:t>3. Khi các văn bản quy định về chế độ, định mức chi dẫn chiếu để áp dụng tại Nghị quyết này được sửa đổi, bổ sung hoặc thay thế bằng văn bản mới thì áp dụng theo các văn bản sửa đổi, bố sung hoặc thay thế.</w:t>
      </w:r>
    </w:p>
    <w:p>
      <w:r>
        <w:rPr>
          <w:b w:val="0"/>
          <w:i w:val="0"/>
        </w:rPr>
        <w:t>Nghị quyết ngày đã được Hội đồng nhân dân tỉnh Yên Bái khóa XIX, Kỳ họp thứ 14 thông qua ngày 08 tháng 12 năm 2023 và có hiệu lực từ ngày 18 tháng 12 năm 2023.</w:t>
      </w:r>
    </w:p>
    <w:p>
      <w:r>
        <w:rPr>
          <w:b w:val="0"/>
          <w:i w:val="0"/>
        </w:rPr>
        <w:br/>
      </w:r>
      <w:r>
        <w:rPr>
          <w:b w:val="0"/>
          <w:i w:val="0"/>
        </w:rPr>
        <w:br/>
      </w:r>
      <w:r>
        <w:rPr>
          <w:b w:val="0"/>
          <w:i w:val="0"/>
        </w:rPr>
        <w:br/>
      </w:r>
      <w:r>
        <w:rPr>
          <w:b/>
          <w:i w:val="0"/>
        </w:rPr>
        <w:t>Noi nhAn: *fy-</w:t>
      </w:r>
      <w:r>
        <w:rPr>
          <w:b w:val="0"/>
          <w:i w:val="0"/>
        </w:rPr>
        <w:br/>
      </w:r>
      <w:r>
        <w:rPr>
          <w:b w:val="0"/>
          <w:i w:val="0"/>
        </w:rPr>
        <w:br/>
      </w:r>
      <w:r>
        <w:rPr>
          <w:b w:val="0"/>
          <w:i w:val="0"/>
        </w:rPr>
        <w:br/>
      </w:r>
      <w:r>
        <w:rPr>
          <w:b/>
          <w:i w:val="0"/>
        </w:rPr>
        <w:t xml:space="preserve"> CHỦ TỊCH</w:t>
      </w:r>
      <w:r>
        <w:rPr>
          <w:b w:val="0"/>
          <w:i w:val="0"/>
        </w:rPr>
        <w:br/>
      </w:r>
      <w:r>
        <w:rPr>
          <w:b/>
          <w:i/>
        </w:rPr>
        <w:t>(Đã ký)</w:t>
      </w:r>
      <w:r>
        <w:rPr>
          <w:b w:val="0"/>
          <w:i w:val="0"/>
        </w:rPr>
        <w:br/>
      </w:r>
      <w:r>
        <w:rPr>
          <w:b/>
          <w:i w:val="0"/>
        </w:rPr>
        <w:t>Tạ Văn Long</w:t>
      </w:r>
      <w:r>
        <w:rPr>
          <w:b w:val="0"/>
          <w:i w:val="0"/>
        </w:rPr>
        <w:br/>
      </w:r>
      <w:r>
        <w:rPr>
          <w:b w:val="0"/>
          <w:i w:val="0"/>
        </w:rPr>
        <w:br/>
      </w:r>
    </w:p>
    <w:p>
      <w:r>
        <w:rPr>
          <w:b w:val="0"/>
          <w:i w:val="0"/>
        </w:rPr>
        <w:br/>
      </w:r>
      <w:r>
        <w:rPr>
          <w:b w:val="0"/>
          <w:i w:val="0"/>
        </w:rPr>
        <w:br/>
      </w:r>
      <w:r>
        <w:rPr>
          <w:b/>
          <w:i w:val="0"/>
        </w:rPr>
        <w:t>Noi nhAn: *fy-</w:t>
      </w:r>
      <w:r>
        <w:rPr>
          <w:b w:val="0"/>
          <w:i w:val="0"/>
        </w:rPr>
        <w:br/>
      </w:r>
    </w:p>
    <w:p>
      <w:r>
        <w:rPr>
          <w:b w:val="0"/>
          <w:i w:val="0"/>
        </w:rPr>
        <w:br/>
      </w:r>
      <w:r>
        <w:rPr>
          <w:b/>
          <w:i w:val="0"/>
        </w:rPr>
        <w:t xml:space="preserve"> CHỦ TỊCH</w:t>
      </w:r>
      <w:r>
        <w:rPr>
          <w:b w:val="0"/>
          <w:i w:val="0"/>
        </w:rPr>
        <w:br/>
      </w:r>
      <w:r>
        <w:rPr>
          <w:b/>
          <w:i/>
        </w:rPr>
        <w:t>(Đã ký)</w:t>
      </w:r>
      <w:r>
        <w:rPr>
          <w:b w:val="0"/>
          <w:i w:val="0"/>
        </w:rPr>
        <w:br/>
      </w:r>
      <w:r>
        <w:rPr>
          <w:b/>
          <w:i w:val="0"/>
        </w:rPr>
        <w:t>Tạ Văn Long</w:t>
      </w:r>
      <w:r>
        <w:rPr>
          <w:b w:val="0"/>
          <w:i w:val="0"/>
        </w:rPr>
        <w:br/>
      </w:r>
    </w:p>
    <w:p>
      <w:r>
        <w:rPr>
          <w:b w:val="0"/>
          <w:i w:val="0"/>
        </w:rPr>
        <w:t>fy - Uy ban Thudng vU Qu6c hQi;</w:t>
      </w:r>
    </w:p>
    <w:p>
      <w:r>
        <w:rPr>
          <w:b w:val="0"/>
          <w:i w:val="0"/>
        </w:rPr>
        <w:t>- B0 Tei chinh;</w:t>
      </w:r>
    </w:p>
    <w:p>
      <w:r>
        <w:rPr>
          <w:b w:val="0"/>
          <w:i w:val="0"/>
        </w:rPr>
        <w:t>- B0 Gi6o duc vd Edo tao;</w:t>
      </w:r>
    </w:p>
    <w:p>
      <w:r>
        <w:rPr>
          <w:b w:val="0"/>
          <w:i w:val="0"/>
        </w:rPr>
        <w:t>- vu Ph6p ch6 - BO Tdi chinh</w:t>
      </w:r>
    </w:p>
    <w:p>
      <w:r>
        <w:rPr>
          <w:b w:val="0"/>
          <w:i w:val="0"/>
        </w:rPr>
        <w:t>p - Cuc Ki6m tra VBQPPL - BQ Tu ph6p;</w:t>
      </w:r>
    </w:p>
    <w:p>
      <w:r>
        <w:rPr>
          <w:b w:val="0"/>
          <w:i w:val="0"/>
        </w:rPr>
        <w:t>- Thudne huc Tinh ty;</w:t>
      </w:r>
    </w:p>
    <w:p>
      <w:r>
        <w:rPr>
          <w:b w:val="0"/>
          <w:i w:val="0"/>
        </w:rPr>
        <w:t>y - Thulng tryc HDND tinh;</w:t>
      </w:r>
    </w:p>
    <w:p>
      <w:r>
        <w:rPr>
          <w:b w:val="0"/>
          <w:i w:val="0"/>
        </w:rPr>
        <w:t>g y - Uy ban nhin ddn tinh;</w:t>
      </w:r>
    </w:p>
    <w:p>
      <w:r>
        <w:rPr>
          <w:b w:val="0"/>
          <w:i w:val="0"/>
        </w:rPr>
        <w:t>y - Uy ban MTTQ ViCt Nam tinh;</w:t>
      </w:r>
    </w:p>
    <w:p>
      <w:r>
        <w:rPr>
          <w:b w:val="0"/>
          <w:i w:val="0"/>
        </w:rPr>
        <w:t>- Dodn tlai bi6u Quiic hOi tinh;</w:t>
      </w:r>
    </w:p>
    <w:p>
      <w:r>
        <w:rPr>
          <w:b w:val="0"/>
          <w:i w:val="0"/>
        </w:rPr>
        <w:t>- Cdc Ban cta HDND tinh;</w:t>
      </w:r>
    </w:p>
    <w:p>
      <w:r>
        <w:rPr>
          <w:b w:val="0"/>
          <w:i w:val="0"/>
        </w:rPr>
        <w:t>- C6c co quan, ban, ngenh, doan th€ cap thh;</w:t>
      </w:r>
    </w:p>
    <w:p>
      <w:r>
        <w:rPr>
          <w:b w:val="0"/>
          <w:i w:val="0"/>
        </w:rPr>
        <w:t>- Dai bir3u HDND tinh:</w:t>
      </w:r>
    </w:p>
    <w:p>
      <w:r>
        <w:rPr>
          <w:b w:val="0"/>
          <w:i w:val="0"/>
        </w:rPr>
        <w:t>- T"l. HDND, UBND c6c huyQn, thi xX, thefi ph6;</w:t>
      </w:r>
    </w:p>
    <w:p>
      <w:r>
        <w:rPr>
          <w:b w:val="0"/>
          <w:i w:val="0"/>
        </w:rPr>
        <w:t>- VIn phdng Tinh ty;</w:t>
      </w:r>
    </w:p>
    <w:p>
      <w:r>
        <w:rPr>
          <w:b w:val="0"/>
          <w:i w:val="0"/>
        </w:rPr>
        <w:t>y - Vdn phdng Doan DBQH vd HDND tinh;</w:t>
      </w:r>
    </w:p>
    <w:p>
      <w:r>
        <w:rPr>
          <w:b w:val="0"/>
          <w:i w:val="0"/>
        </w:rPr>
        <w:t>- Van phdng UBND tinh;</w:t>
      </w:r>
    </w:p>
    <w:p>
      <w:r>
        <w:rPr>
          <w:b w:val="0"/>
          <w:i w:val="0"/>
        </w:rPr>
        <w:t>- Trung tam diau hdnh th6ng minh;</w:t>
      </w:r>
    </w:p>
    <w:p>
      <w:r>
        <w:rPr>
          <w:b w:val="0"/>
          <w:i w:val="0"/>
        </w:rPr>
        <w:t>g - Ltru: VT, VtlXH.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