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63/2002/QĐ-UB Về ban hành Quy định chính sách, chế độ đối với Trật tự viên tham gia công tác giữ gìn trật tự an toàn giao thông đường bộ trên địa bàn thành phố.</w:t>
      </w:r>
    </w:p>
    <w:p>
      <w:r>
        <w:rPr>
          <w:b w:val="0"/>
          <w:i w:val="0"/>
        </w:rPr>
        <w:br/>
      </w:r>
      <w:r>
        <w:rPr>
          <w:b w:val="0"/>
          <w:i w:val="0"/>
        </w:rPr>
        <w:br/>
      </w:r>
      <w:r>
        <w:rPr>
          <w:b/>
          <w:i w:val="0"/>
        </w:rPr>
        <w:br/>
      </w:r>
      <w:r>
        <w:rPr>
          <w:b/>
          <w:i w:val="0"/>
        </w:rPr>
        <w:br/>
        <w:t xml:space="preserve">      UBND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63/2002/QĐ-UB</w:t>
        <w:br/>
        <w:t xml:space="preserve">    </w:t>
      </w:r>
      <w:r>
        <w:rPr>
          <w:b w:val="0"/>
          <w:i w:val="0"/>
        </w:rPr>
        <w:br/>
      </w:r>
      <w:r>
        <w:rPr>
          <w:b w:val="0"/>
          <w:i/>
        </w:rPr>
        <w:br/>
        <w:t xml:space="preserve">     Thành phố Hồ Chí Minh, ngày 3 tháng 6 năm 2002</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UBND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63/2002/QĐ-UB</w:t>
        <w:br/>
        <w:t xml:space="preserve">    </w:t>
      </w:r>
      <w:r>
        <w:rPr>
          <w:b w:val="0"/>
          <w:i w:val="0"/>
        </w:rPr>
        <w:br/>
      </w:r>
      <w:r>
        <w:rPr>
          <w:b w:val="0"/>
          <w:i/>
        </w:rPr>
        <w:br/>
        <w:t xml:space="preserve">     Thành phố Hồ Chí Minh, ngày 3 tháng 6 năm 2002</w:t>
        <w:br/>
        <w:t xml:space="preserve">    </w:t>
      </w:r>
      <w:r>
        <w:rPr>
          <w:b w:val="0"/>
          <w:i w:val="0"/>
        </w:rPr>
        <w:br/>
      </w:r>
    </w:p>
    <w:p>
      <w:pPr>
        <w:jc w:val="center"/>
      </w:pPr>
      <w:r>
        <w:rPr>
          <w:b w:val="0"/>
          <w:i w:val="0"/>
        </w:rPr>
        <w:br/>
        <w:t xml:space="preserve">     Số: 63/2002/QĐ-UB</w:t>
        <w:br/>
        <w:t xml:space="preserve">    </w:t>
      </w:r>
    </w:p>
    <w:p>
      <w:pPr>
        <w:jc w:val="center"/>
      </w:pPr>
      <w:r>
        <w:rPr>
          <w:b w:val="0"/>
          <w:i w:val="0"/>
        </w:rPr>
        <w:br/>
        <w:t xml:space="preserve">     Thành phố Hồ Chí Minh, ngày 3 tháng 6 năm 2002</w:t>
        <w:br/>
        <w:t xml:space="preserve">    </w:t>
      </w:r>
    </w:p>
    <w:p>
      <w:r>
        <w:rPr>
          <w:b/>
          <w:i w:val="0"/>
        </w:rPr>
        <w:t>QUYẾT ĐỊNH</w:t>
      </w:r>
    </w:p>
    <w:p>
      <w:r>
        <w:rPr>
          <w:b/>
          <w:i w:val="0"/>
        </w:rPr>
        <w:t>Về ban hành Quy định chính sách, chế độ đối với Trật tự viên tham gia công tác giữ gìn trật tự an toàn giao thông đường bộ trên địa bàn thành phố.</w:t>
      </w:r>
    </w:p>
    <w:p>
      <w:r>
        <w:rPr>
          <w:b w:val="0"/>
          <w:i w:val="0"/>
        </w:rPr>
        <w:t>*************</w:t>
      </w:r>
    </w:p>
    <w:p>
      <w:r>
        <w:rPr>
          <w:b/>
          <w:i w:val="0"/>
        </w:rPr>
        <w:t>ỦY BAN NHÂN DÂN THÀNH PHỐ HỒ CHÍ MINH</w:t>
      </w:r>
    </w:p>
    <w:p>
      <w:pPr>
        <w:jc w:val="both"/>
      </w:pPr>
      <w:r>
        <w:rPr>
          <w:b w:val="0"/>
          <w:i w:val="0"/>
        </w:rPr>
        <w:t xml:space="preserve">- Căn cứ Luật tổ chức Hội đồng nhân dân và Ủy ban nhân dân ngày 21 tháng 6 năm 1994; </w:t>
      </w:r>
    </w:p>
    <w:p>
      <w:pPr>
        <w:jc w:val="both"/>
      </w:pPr>
      <w:r>
        <w:rPr>
          <w:b w:val="0"/>
          <w:i w:val="0"/>
        </w:rPr>
        <w:t>- Căn cứ Nghị định số 93/2001/NĐ-CP ngày 12 tháng 12 năm 2001 của Chính phủ về phân cấp quản lý một số lĩnh vực cho thành phố Hồ Chí Minh;</w:t>
      </w:r>
    </w:p>
    <w:p>
      <w:pPr>
        <w:jc w:val="both"/>
      </w:pPr>
      <w:r>
        <w:rPr>
          <w:b w:val="0"/>
          <w:i w:val="0"/>
        </w:rPr>
        <w:t xml:space="preserve">- Căn cứ Quyết định số 37/2001/QĐ-UB ngày 27 tháng 4 năm 2001 của Ủy ban nhân dân thành phố về Kế hoạch thực hiện Năm trật tự đô thị – 2001 và Quyết định số 83/2001/QĐ-UB ngày 20 tháng 9 năm 2001 của Ủy ban nhân dân thành phố về giao chức năng tham gia công tác giữ gìn trật tự an toàn giao thông đường bộ trên địa bàn thành phố đối với Công ty Dịch vụ công ích Thanh niên xung phong thuộc Lực lượng Thanh niên xung phong thành phố; </w:t>
      </w:r>
    </w:p>
    <w:p>
      <w:pPr>
        <w:jc w:val="both"/>
      </w:pPr>
      <w:r>
        <w:rPr>
          <w:b w:val="0"/>
          <w:i w:val="0"/>
        </w:rPr>
        <w:t xml:space="preserve">- Xét Quy chế số 434/QC-LCQ ngày 11 tháng 12 năm 2001 của Liên ngành Công an thành phố và Lực lượng Thanh niên xung phong thành phố về phối hợp tổ chức và hoạt động giữ gìn trật tự an toàn giao thông đường bộ và đề nghị của Chỉ huy trưởng Lực lượng Thanh niên xung phong thành phố tại Văn bản số 06/TT-TNXP ngày 25 tháng 02 năm 2002, của Giám đốc Sở Tài chánh-Vật giá tại Công văn số 4489/TCVG-HCSN và Công văn số 4490/TCVG-HCSN ngày 10 tháng 12 năm 2001, của Giám đốc Sở Lao động-Thương binh và Xã hội tại Công văn số 2888/LĐTBXH ngày 28 tháng 11 năm 2001 và của Trưởng Ban Tổ chức Chính quyền thành phố tại Tờ trình số 24/TCCQ ngày 05 tháng 3 năm 2002; </w:t>
      </w:r>
    </w:p>
    <w:p>
      <w:r>
        <w:rPr>
          <w:b/>
          <w:i w:val="0"/>
        </w:rPr>
        <w:t>QUYẾT ĐỊNH</w:t>
      </w:r>
    </w:p>
    <w:p>
      <w:r>
        <w:rPr>
          <w:b/>
          <w:i w:val="0"/>
        </w:rPr>
        <w:t xml:space="preserve">Điều 1. - </w:t>
      </w:r>
      <w:r>
        <w:rPr>
          <w:b w:val="0"/>
          <w:i w:val="0"/>
        </w:rPr>
        <w:t>Nay ban hành kèm theo Quyết định này Quy định về chính sách, chế độ đối với Trật tự viên tham gia công tác giữ gìn trật tự an toàn giao thông đường bộ thuộc Công ty Dịch vụ công ích Thanh niên xung phong, Lực lượng Thanh niên xung phong thành phố</w:t>
      </w:r>
      <w:r>
        <w:rPr>
          <w:b/>
          <w:i w:val="0"/>
        </w:rPr>
        <w:t>.</w:t>
      </w:r>
    </w:p>
    <w:p>
      <w:r>
        <w:rPr>
          <w:b/>
          <w:i w:val="0"/>
        </w:rPr>
        <w:t xml:space="preserve">Điều 2. - </w:t>
      </w:r>
      <w:r>
        <w:rPr>
          <w:b w:val="0"/>
          <w:i w:val="0"/>
        </w:rPr>
        <w:t>Quyết định này có hiệu lực thi hành kể từ ngày ký.</w:t>
      </w:r>
    </w:p>
    <w:p>
      <w:r>
        <w:rPr>
          <w:b/>
          <w:i w:val="0"/>
        </w:rPr>
        <w:t xml:space="preserve">Điều 3. - </w:t>
      </w:r>
      <w:r>
        <w:rPr>
          <w:b w:val="0"/>
          <w:i w:val="0"/>
        </w:rPr>
        <w:t>Chánh Văn phòng Hội đồng nhân dân và Ủy ban nhân dân thành phố, Trưởng Ban Tổ chức Chính quyền thành phố, Giám đốc Sở Tài chánh-Vật giá, Giám đốc Sở Lao động-Thương binh và Xã hội, Giám đốc Sở Kế hoạch và Đầu tư, Giám đốc Sở Giao thông Công chánh, Trưởng Ban An toàn giao thông thành phố, Giám đốc Công an thành phố, Ngân hàng Nhà nước thành phố, Kho bạc Nhà nước thành phố, Chi cục Trưởng Chi Cục Tài chính doanh nghiệp thành phố, Chỉ huy Trưởng Lực lượng Thanh niên xung phong thành phố và Giám đốc Công ty Dịch vụ công ích Thanh niên xung phong, có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val="0"/>
        </w:rPr>
        <w:br/>
      </w:r>
      <w:r>
        <w:rPr>
          <w:b/>
          <w:i w:val="0"/>
        </w:rPr>
        <w:br/>
        <w:t xml:space="preserve">     Lê Thanh Hải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val="0"/>
          <w:i w:val="0"/>
        </w:rPr>
        <w:br/>
      </w:r>
      <w:r>
        <w:rPr>
          <w:b/>
          <w:i w:val="0"/>
        </w:rPr>
        <w:br/>
        <w:t xml:space="preserve">     Lê Thanh Hải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Lê Thanh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