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63/2003/QĐ-TTg Về việc phê duyệt Phương án tổng thể sắp xếp, đổi mới doanh nghiệp nhà nước trực thuộc Bộ Giao thông vận tải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63/2003/QĐ-TTg</w:t>
      </w:r>
      <w:r>
        <w:rPr>
          <w:b w:val="0"/>
          <w:i w:val="0"/>
        </w:rPr>
        <w:br/>
      </w:r>
      <w:r>
        <w:rPr>
          <w:b w:val="0"/>
          <w:i w:val="0"/>
        </w:rPr>
        <w:br/>
      </w:r>
      <w:r>
        <w:rPr>
          <w:b w:val="0"/>
          <w:i/>
        </w:rPr>
        <w:br/>
      </w:r>
      <w:r>
        <w:rPr>
          <w:b w:val="0"/>
          <w:i/>
        </w:rPr>
        <w:t>Hà Nội</w:t>
      </w:r>
      <w:r>
        <w:rPr>
          <w:b w:val="0"/>
          <w:i/>
        </w:rPr>
        <w:t>, ngày 21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63/2003/QĐ-TTg</w:t>
      </w:r>
      <w:r>
        <w:rPr>
          <w:b w:val="0"/>
          <w:i w:val="0"/>
        </w:rPr>
        <w:br/>
      </w:r>
      <w:r>
        <w:rPr>
          <w:b w:val="0"/>
          <w:i w:val="0"/>
        </w:rPr>
        <w:br/>
      </w:r>
      <w:r>
        <w:rPr>
          <w:b w:val="0"/>
          <w:i/>
        </w:rPr>
        <w:br/>
      </w:r>
      <w:r>
        <w:rPr>
          <w:b w:val="0"/>
          <w:i/>
        </w:rPr>
        <w:t>Hà Nội</w:t>
      </w:r>
      <w:r>
        <w:rPr>
          <w:b w:val="0"/>
          <w:i/>
        </w:rPr>
        <w:t>, ngày 21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63/2003/QĐ-TTg</w:t>
      </w:r>
      <w:r>
        <w:rPr>
          <w:b w:val="0"/>
          <w:i w:val="0"/>
        </w:rPr>
        <w:br/>
      </w:r>
      <w:r>
        <w:rPr>
          <w:b w:val="0"/>
          <w:i w:val="0"/>
        </w:rPr>
        <w:br/>
      </w:r>
      <w:r>
        <w:rPr>
          <w:b w:val="0"/>
          <w:i/>
        </w:rPr>
        <w:br/>
      </w:r>
      <w:r>
        <w:rPr>
          <w:b w:val="0"/>
          <w:i/>
        </w:rPr>
        <w:t>Hà Nội</w:t>
      </w:r>
      <w:r>
        <w:rPr>
          <w:b w:val="0"/>
          <w:i/>
        </w:rPr>
        <w:t>, ngày 21 tháng 4 năm 2003</w:t>
      </w:r>
      <w:r>
        <w:rPr>
          <w:b w:val="0"/>
          <w:i/>
        </w:rPr>
        <w:br/>
      </w:r>
      <w:r>
        <w:rPr>
          <w:b w:val="0"/>
          <w:i w:val="0"/>
        </w:rPr>
        <w:br/>
      </w:r>
    </w:p>
    <w:p>
      <w:pPr>
        <w:jc w:val="center"/>
      </w:pPr>
      <w:r>
        <w:rPr>
          <w:b w:val="0"/>
          <w:i w:val="0"/>
        </w:rPr>
        <w:br/>
      </w:r>
      <w:r>
        <w:rPr>
          <w:b w:val="0"/>
          <w:i w:val="0"/>
        </w:rPr>
        <w:t>Số: 63/2003/QĐ-TTg</w:t>
      </w:r>
      <w:r>
        <w:rPr>
          <w:b w:val="0"/>
          <w:i w:val="0"/>
        </w:rPr>
        <w:br/>
      </w:r>
    </w:p>
    <w:p>
      <w:pPr>
        <w:jc w:val="center"/>
      </w:pPr>
      <w:r>
        <w:rPr>
          <w:b w:val="0"/>
          <w:i w:val="0"/>
        </w:rPr>
        <w:br/>
      </w:r>
      <w:r>
        <w:rPr>
          <w:b w:val="0"/>
          <w:i/>
        </w:rPr>
        <w:t>Hà Nội</w:t>
      </w:r>
      <w:r>
        <w:rPr>
          <w:b w:val="0"/>
          <w:i w:val="0"/>
        </w:rPr>
        <w:t>, ngày 21 tháng 4 năm 2003</w:t>
      </w:r>
      <w:r>
        <w:rPr>
          <w:b w:val="0"/>
          <w:i w:val="0"/>
        </w:rPr>
        <w:br/>
      </w:r>
    </w:p>
    <w:p>
      <w:r>
        <w:rPr>
          <w:b/>
          <w:i w:val="0"/>
        </w:rPr>
        <w:t xml:space="preserve">QUYẾT ĐỊNH </w:t>
      </w:r>
    </w:p>
    <w:p>
      <w:r>
        <w:rPr>
          <w:b/>
          <w:i w:val="0"/>
        </w:rPr>
        <w:t xml:space="preserve">Về việc phê duyệt phương án tổng thể sắp xếp, đổi mới doanh nghiệp </w:t>
      </w:r>
      <w:r>
        <w:rPr>
          <w:b/>
          <w:i w:val="0"/>
        </w:rPr>
        <w:t xml:space="preserve">nhà </w:t>
      </w:r>
    </w:p>
    <w:p>
      <w:r>
        <w:rPr>
          <w:b/>
          <w:i w:val="0"/>
        </w:rPr>
        <w:t>nước trực thuộc Bộ Giao thông vận tải đến năm 2005</w:t>
      </w:r>
    </w:p>
    <w:p>
      <w:r>
        <w:rPr>
          <w:b/>
          <w:i w:val="0"/>
        </w:rPr>
        <w:t>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Bộ Giao thông vận tải và ý kiến của các Bộ: Kế hoạch và Đầu tư, Tài chính, Lao động Thương binh và Xã hội, Nội vụ, Ban Kinh tế Trung ương,</w:t>
      </w:r>
    </w:p>
    <w:p>
      <w:r>
        <w:rPr>
          <w:b/>
          <w:i w:val="0"/>
        </w:rPr>
        <w:t>QUYẾT ĐỊNH:</w:t>
      </w:r>
    </w:p>
    <w:p>
      <w:pPr>
        <w:jc w:val="both"/>
      </w:pPr>
      <w:r>
        <w:rPr>
          <w:b/>
          <w:i w:val="0"/>
        </w:rPr>
        <w:t xml:space="preserve">Điều 1. </w:t>
      </w:r>
      <w:r>
        <w:rPr>
          <w:b w:val="0"/>
          <w:i w:val="0"/>
        </w:rPr>
        <w:t>Phê duyệt Phương án tổng thể sắp xếp, đổi mới doanh nghiệp nhà nước trực thuộc Bộ Giao thông vận tải đến năm 2005 như Phụ lục kèm theo.</w:t>
      </w:r>
    </w:p>
    <w:p>
      <w:pPr>
        <w:jc w:val="both"/>
      </w:pPr>
      <w:r>
        <w:rPr>
          <w:b/>
          <w:i w:val="0"/>
        </w:rPr>
        <w:t xml:space="preserve">Điều 2. </w:t>
      </w:r>
      <w:r>
        <w:rPr>
          <w:b w:val="0"/>
          <w:i w:val="0"/>
        </w:rPr>
        <w:t>Bộ trưởng Bộ Giao thông vận tải có trách nhiệm:</w:t>
      </w:r>
    </w:p>
    <w:p>
      <w:pPr>
        <w:jc w:val="both"/>
      </w:pPr>
      <w:r>
        <w:rPr>
          <w:b w:val="0"/>
          <w:i w:val="0"/>
        </w:rPr>
        <w:t>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p>
    <w:p>
      <w:pPr>
        <w:jc w:val="both"/>
      </w:pPr>
      <w:r>
        <w:rPr>
          <w:b w:val="0"/>
          <w:i w:val="0"/>
        </w:rPr>
        <w:t>Phối hợp với Ban chỉ đạo Đổi mới và Phát triển doanh nghiệp xây dựng Đề án thí điểm Hội đồng quản trị ký hợp đồng với Tổng giám đốc ở Tổng công ty Công nghiệp tầu thủy Việt Nam và Tổng công ty Cơ khí giao thông vận tải.</w:t>
      </w:r>
    </w:p>
    <w:p>
      <w:pPr>
        <w:jc w:val="both"/>
      </w:pPr>
      <w:r>
        <w:rPr>
          <w:b w:val="0"/>
          <w:i w:val="0"/>
        </w:rPr>
        <w:t>Xây dựng các đề án chuyển 15 đoạn quản lý đường sông thành doanh nghiệp nhà nước hoạt động công ích, theo quy định hiện hành về thành lập mới doanh nghiệp nhà nước.</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Bộ Giao thông vận tải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Điều 4.</w:t>
      </w:r>
      <w:r>
        <w:rPr>
          <w:b w:val="0"/>
          <w:i w:val="0"/>
        </w:rPr>
        <w:t xml:space="preserve"> Quyết định này có hiệu lực sau 15 ngày, kể từ ngày đăng Công báo.</w:t>
      </w:r>
    </w:p>
    <w:p>
      <w:pPr>
        <w:jc w:val="both"/>
      </w:pPr>
      <w:r>
        <w:rPr>
          <w:b w:val="0"/>
          <w:i w:val="0"/>
        </w:rPr>
        <w:t>Bộ trưởng Bộ Giao thông vận tải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