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63/2005/QĐ-BTC Về việc ban hành Chế độ kế toán Quỹ Đầu tư chứng khoán</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63/2005/QĐ-BTC</w:t>
      </w:r>
      <w:r>
        <w:rPr>
          <w:b w:val="0"/>
          <w:i w:val="0"/>
        </w:rPr>
        <w:br/>
      </w:r>
      <w:r>
        <w:rPr>
          <w:b w:val="0"/>
          <w:i w:val="0"/>
        </w:rPr>
        <w:br/>
      </w:r>
      <w:r>
        <w:rPr>
          <w:b w:val="0"/>
          <w:i/>
        </w:rPr>
        <w:br/>
      </w:r>
      <w:r>
        <w:rPr>
          <w:b w:val="0"/>
          <w:i/>
        </w:rPr>
        <w:t>Ngày 14 tháng 9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63/2005/QĐ-BTC</w:t>
      </w:r>
      <w:r>
        <w:rPr>
          <w:b w:val="0"/>
          <w:i w:val="0"/>
        </w:rPr>
        <w:br/>
      </w:r>
      <w:r>
        <w:rPr>
          <w:b w:val="0"/>
          <w:i w:val="0"/>
        </w:rPr>
        <w:br/>
      </w:r>
      <w:r>
        <w:rPr>
          <w:b w:val="0"/>
          <w:i/>
        </w:rPr>
        <w:br/>
      </w:r>
      <w:r>
        <w:rPr>
          <w:b w:val="0"/>
          <w:i/>
        </w:rPr>
        <w:t>Ngày 14 tháng 9 năm 2005</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63/2005/QĐ-BTC</w:t>
      </w:r>
      <w:r>
        <w:rPr>
          <w:b w:val="0"/>
          <w:i w:val="0"/>
        </w:rPr>
        <w:br/>
      </w:r>
      <w:r>
        <w:rPr>
          <w:b w:val="0"/>
          <w:i w:val="0"/>
        </w:rPr>
        <w:br/>
      </w:r>
      <w:r>
        <w:rPr>
          <w:b w:val="0"/>
          <w:i/>
        </w:rPr>
        <w:br/>
      </w:r>
      <w:r>
        <w:rPr>
          <w:b w:val="0"/>
          <w:i/>
        </w:rPr>
        <w:t>Ngày 14 tháng 9 năm 2005</w:t>
      </w:r>
      <w:r>
        <w:rPr>
          <w:b w:val="0"/>
          <w:i/>
        </w:rPr>
        <w:br/>
      </w:r>
      <w:r>
        <w:rPr>
          <w:b w:val="0"/>
          <w:i w:val="0"/>
        </w:rPr>
        <w:br/>
      </w:r>
    </w:p>
    <w:p>
      <w:pPr>
        <w:jc w:val="center"/>
      </w:pPr>
      <w:r>
        <w:rPr>
          <w:b w:val="0"/>
          <w:i w:val="0"/>
        </w:rPr>
        <w:br/>
      </w:r>
      <w:r>
        <w:rPr>
          <w:b w:val="0"/>
          <w:i w:val="0"/>
        </w:rPr>
        <w:t>Số: 63/2005/QĐ-BTC</w:t>
      </w:r>
      <w:r>
        <w:rPr>
          <w:b w:val="0"/>
          <w:i w:val="0"/>
        </w:rPr>
        <w:br/>
      </w:r>
    </w:p>
    <w:p>
      <w:pPr>
        <w:jc w:val="center"/>
      </w:pPr>
      <w:r>
        <w:rPr>
          <w:b w:val="0"/>
          <w:i w:val="0"/>
        </w:rPr>
        <w:br/>
      </w:r>
      <w:r>
        <w:rPr>
          <w:b w:val="0"/>
          <w:i w:val="0"/>
        </w:rPr>
        <w:t>Ngày 14 tháng 9 năm 2005</w:t>
      </w:r>
      <w:r>
        <w:rPr>
          <w:b w:val="0"/>
          <w:i w:val="0"/>
        </w:rPr>
        <w:br/>
      </w:r>
    </w:p>
    <w:p>
      <w:r>
        <w:rPr>
          <w:b/>
          <w:i w:val="0"/>
        </w:rPr>
        <w:t>QUYẾT ĐỊNH CỦA BỘ TRƯỞNG BỘ TÀI CHÍNH</w:t>
      </w:r>
    </w:p>
    <w:p>
      <w:r>
        <w:rPr>
          <w:b/>
          <w:i/>
        </w:rPr>
        <w:t>Về việc ban hành Chế độ kế toán Quỹ Đầu tư chứng khoán</w:t>
      </w:r>
    </w:p>
    <w:p>
      <w:r>
        <w:rPr>
          <w:b/>
          <w:i w:val="0"/>
        </w:rPr>
        <w:t>BỘ TRƯỞNG BỘ TÀI CHÍNH</w:t>
      </w:r>
    </w:p>
    <w:p>
      <w:r>
        <w:rPr>
          <w:b w:val="0"/>
          <w:i/>
        </w:rPr>
        <w:t>Căn cứ Luật Kế toán số 03/2003/QH11 ngày 17/6/2003 và Nghị định số 129/2004/NĐ-CP ngày 31/5/2004 của Chính phủ Quy định chi tiết và hướng dẫn thi hành một số điều của Luật Kế toán trong hoạt động kinh doanh;</w:t>
      </w:r>
    </w:p>
    <w:p>
      <w:r>
        <w:rPr>
          <w:b w:val="0"/>
          <w:i/>
        </w:rPr>
        <w:t>Căn cứ Nghị định số 77/2003/NĐ-CP ngày 01/7/2003 của Chính phủ Quy định chức năng, nhiệm vụ, quyền hạn và cơ cấu tổ chức của Bộ Tài chính;</w:t>
      </w:r>
    </w:p>
    <w:p>
      <w:r>
        <w:rPr>
          <w:b w:val="0"/>
          <w:i/>
        </w:rPr>
        <w:t>Căn cứ Nghị định số 144/2003/NĐ-CP ngày 28/11/2003 của Chính phủ về Chứng khoán và thị trường chứng khoán;</w:t>
      </w:r>
    </w:p>
    <w:p>
      <w:r>
        <w:rPr>
          <w:b w:val="0"/>
          <w:i/>
        </w:rPr>
        <w:t>Theo đề nghị của Vụ trưởng Vụ Chế độ kế toán và Kiểm toán, Chủ tịch Uỷ ban chứng khoán Nhà nước và Chánh văn phòng Bộ Tài chính,</w:t>
      </w:r>
    </w:p>
    <w:p>
      <w:r>
        <w:rPr>
          <w:b/>
          <w:i w:val="0"/>
        </w:rPr>
        <w:t>QUYẾT ĐỊNH:</w:t>
      </w:r>
    </w:p>
    <w:p>
      <w:r>
        <w:rPr>
          <w:b/>
          <w:i w:val="0"/>
        </w:rPr>
        <w:t xml:space="preserve">Điều 1. </w:t>
      </w:r>
      <w:r>
        <w:rPr>
          <w:b w:val="0"/>
          <w:i w:val="0"/>
        </w:rPr>
        <w:t>Ban hành "Chế độ kế toán Quỹ Đầu tư chứng khoán" áp dụng cho công tác kế toán Quỹ Đầu tư chứng khoán. Chế độ kế toán Quỹ Đầu tư chứng khoán gồm 4 phần:</w:t>
      </w:r>
    </w:p>
    <w:p>
      <w:r>
        <w:rPr>
          <w:b w:val="0"/>
          <w:i w:val="0"/>
        </w:rPr>
        <w:t>Phần thứ nhất : Hệ thống Chứng từ kế toán;</w:t>
      </w:r>
    </w:p>
    <w:p>
      <w:r>
        <w:rPr>
          <w:b w:val="0"/>
          <w:i w:val="0"/>
        </w:rPr>
        <w:t>Phần thứ hai: Hệ thống Tài khoản kế toán;</w:t>
      </w:r>
    </w:p>
    <w:p>
      <w:r>
        <w:rPr>
          <w:b w:val="0"/>
          <w:i w:val="0"/>
        </w:rPr>
        <w:t>Phần thứ ba: Hệ thống Sổ kế toán và hình thức kế toán áp dụng;</w:t>
      </w:r>
    </w:p>
    <w:p>
      <w:r>
        <w:rPr>
          <w:b w:val="0"/>
          <w:i w:val="0"/>
        </w:rPr>
        <w:t>Phần thứ tư: Hệ thống Báo cáo tài chính.</w:t>
      </w:r>
    </w:p>
    <w:p>
      <w:r>
        <w:rPr>
          <w:b/>
          <w:i w:val="0"/>
        </w:rPr>
        <w:t xml:space="preserve">Điều 2. </w:t>
      </w:r>
      <w:r>
        <w:rPr>
          <w:b w:val="0"/>
          <w:i w:val="0"/>
        </w:rPr>
        <w:t>Chế độ kế toán Quỹ Đầu tư chứng khoán ban hành theo Quyết định này áp dụng cho các Quỹ Đầu tư chứng khoán trong cả nước và thay thế Chế độ kế toán Quỹ Đầu tư chứng khoán chấp thuận theo Công văn số 2913/TC-CĐKT ngày 8/11/2004 của Bộ Tài chính.</w:t>
      </w:r>
    </w:p>
    <w:p>
      <w:r>
        <w:rPr>
          <w:b w:val="0"/>
          <w:i w:val="0"/>
        </w:rPr>
        <w:t>Các Công ty quản lý Quỹ Đầu tư chứng khoán tiến hành khoá sổ kế toán của từng Quỹ Đầu tư chứng khoán tại thời điểm 31/12/2005 để tính chuyển số dư tài khoản kế toán cũ sang tài khoản kế toán mới từ ngày 01/01/2006 theo Chế độ kế toán ban hành theo Quyết định này. Những quy định khác về kế toán không quy định trong Quyết định này được thực hiện theo Luật Kế toán và Nghị định số 129/2004/NĐ-CP ngày 31/5/2004 của Chính phủ về việc Quy định chi tiết và hướng dẫn thi hành một số điều của Luật Kế toán trong hoạt động kinh doanh.</w:t>
      </w:r>
    </w:p>
    <w:p>
      <w:r>
        <w:rPr>
          <w:b/>
          <w:i w:val="0"/>
        </w:rPr>
        <w:t xml:space="preserve">Điều 3. </w:t>
      </w:r>
      <w:r>
        <w:rPr>
          <w:b w:val="0"/>
          <w:i w:val="0"/>
        </w:rPr>
        <w:t>Quyết định này có hiệu lực sau 15 ngày, kể từ ngày đăng Công báo.</w:t>
      </w:r>
    </w:p>
    <w:p>
      <w:r>
        <w:rPr>
          <w:b/>
          <w:i w:val="0"/>
        </w:rPr>
        <w:t xml:space="preserve">Điều 4. </w:t>
      </w:r>
      <w:r>
        <w:rPr>
          <w:b w:val="0"/>
          <w:i w:val="0"/>
        </w:rPr>
        <w:t>Giám đốc Công ty quản lý Quỹ Đầu tư chứng khoán có trách nhiệm chỉ đạo, tổ chức thực hiện công tác kế toán riêng biệt từng quỹ do Công ty quản lý theo quy định trong Quyết định này và các quy định tại Luật Kế toán và Nghị định số 129/2004/NĐ-CP.</w:t>
      </w:r>
    </w:p>
    <w:p>
      <w:r>
        <w:rPr>
          <w:b w:val="0"/>
          <w:i w:val="0"/>
        </w:rPr>
        <w:t>Công ty quản lý Quỹ phải đảm bảo tổ chức thực hiện công tác kế toán của Quỹ Đầu tư chứng khoán tách biệt với tổ chức thực hiện công tác kế toán của chính Công ty quản lý Quỹ.</w:t>
      </w:r>
    </w:p>
    <w:p>
      <w:r>
        <w:rPr>
          <w:b/>
          <w:i w:val="0"/>
        </w:rPr>
        <w:t xml:space="preserve">Điều 5. </w:t>
      </w:r>
      <w:r>
        <w:rPr>
          <w:b w:val="0"/>
          <w:i w:val="0"/>
        </w:rPr>
        <w:t>Vụ trưởng Vụ Chế độ kế toán và kiểm toán, Chủ tịch Uỷ ban chứng khoán Nhà nước, Chánh Văn phòng Bộ, Vụ trưởng Vụ Tài chính ngân hàng và các Tổ chức tài chính và Thủ trưởng các đơn vị liên quan chịu trách nhiệm hướng dẫn, kiểm tra việc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Văn Tá</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Văn Tá</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Văn Tá</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Trần Văn Tá</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