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63/2017/QĐ-UBND Về Quy định phân cấp nguồn thu chậm nộp ngân sách địa phương cho từng cấp ngân sách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63/2017/QĐ-UBND</w:t>
      </w:r>
      <w:r>
        <w:rPr>
          <w:b w:val="0"/>
          <w:i w:val="0"/>
        </w:rPr>
        <w:br/>
      </w:r>
      <w:r>
        <w:rPr>
          <w:b w:val="0"/>
          <w:i w:val="0"/>
        </w:rPr>
        <w:br/>
      </w:r>
      <w:r>
        <w:rPr>
          <w:b w:val="0"/>
          <w:i/>
        </w:rPr>
        <w:br/>
      </w:r>
      <w:r>
        <w:rPr>
          <w:b w:val="0"/>
          <w:i/>
        </w:rPr>
        <w:t>Thành phố Hồ Chí Minh, ngày 20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63/2017/QĐ-UBND</w:t>
      </w:r>
      <w:r>
        <w:rPr>
          <w:b w:val="0"/>
          <w:i w:val="0"/>
        </w:rPr>
        <w:br/>
      </w:r>
      <w:r>
        <w:rPr>
          <w:b w:val="0"/>
          <w:i w:val="0"/>
        </w:rPr>
        <w:br/>
      </w:r>
      <w:r>
        <w:rPr>
          <w:b w:val="0"/>
          <w:i/>
        </w:rPr>
        <w:br/>
      </w:r>
      <w:r>
        <w:rPr>
          <w:b w:val="0"/>
          <w:i/>
        </w:rPr>
        <w:t>Thành phố Hồ Chí Minh, ngày 20 tháng 12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63/2017/QĐ-UBND</w:t>
      </w:r>
      <w:r>
        <w:rPr>
          <w:b w:val="0"/>
          <w:i w:val="0"/>
        </w:rPr>
        <w:br/>
      </w:r>
      <w:r>
        <w:rPr>
          <w:b w:val="0"/>
          <w:i w:val="0"/>
        </w:rPr>
        <w:br/>
      </w:r>
      <w:r>
        <w:rPr>
          <w:b w:val="0"/>
          <w:i/>
        </w:rPr>
        <w:br/>
      </w:r>
      <w:r>
        <w:rPr>
          <w:b w:val="0"/>
          <w:i/>
        </w:rPr>
        <w:t>Thành phố Hồ Chí Minh, ngày 20 tháng 12 năm 2017</w:t>
      </w:r>
      <w:r>
        <w:rPr>
          <w:b w:val="0"/>
          <w:i/>
        </w:rPr>
        <w:br/>
      </w:r>
      <w:r>
        <w:rPr>
          <w:b w:val="0"/>
          <w:i w:val="0"/>
        </w:rPr>
        <w:br/>
      </w:r>
    </w:p>
    <w:p>
      <w:pPr>
        <w:jc w:val="center"/>
      </w:pPr>
      <w:r>
        <w:rPr>
          <w:b w:val="0"/>
          <w:i w:val="0"/>
        </w:rPr>
        <w:br/>
      </w:r>
      <w:r>
        <w:rPr>
          <w:b w:val="0"/>
          <w:i w:val="0"/>
        </w:rPr>
        <w:t>Số: 63/2017/QĐ-UBND</w:t>
      </w:r>
      <w:r>
        <w:rPr>
          <w:b w:val="0"/>
          <w:i w:val="0"/>
        </w:rPr>
        <w:br/>
      </w:r>
    </w:p>
    <w:p>
      <w:pPr>
        <w:jc w:val="center"/>
      </w:pPr>
      <w:r>
        <w:rPr>
          <w:b w:val="0"/>
          <w:i w:val="0"/>
        </w:rPr>
        <w:br/>
      </w:r>
      <w:r>
        <w:rPr>
          <w:b w:val="0"/>
          <w:i w:val="0"/>
        </w:rPr>
        <w:t>Thành phố Hồ Chí Minh, ngày 20 tháng 12 năm 2017</w:t>
      </w:r>
      <w:r>
        <w:rPr>
          <w:b w:val="0"/>
          <w:i w:val="0"/>
        </w:rPr>
        <w:br/>
      </w:r>
    </w:p>
    <w:p>
      <w:pPr>
        <w:jc w:val="center"/>
      </w:pPr>
      <w:r>
        <w:rPr>
          <w:b/>
          <w:i w:val="0"/>
        </w:rPr>
        <w:t>QUYẾT ĐỊNH</w:t>
      </w:r>
    </w:p>
    <w:p>
      <w:pPr>
        <w:jc w:val="center"/>
      </w:pPr>
      <w:r>
        <w:rPr>
          <w:b/>
          <w:i w:val="0"/>
        </w:rPr>
        <w:t xml:space="preserve">Về Quy định phân cấp nguồn thu chậm nộp ngân sách địa phương </w:t>
      </w:r>
    </w:p>
    <w:p>
      <w:pPr>
        <w:jc w:val="center"/>
      </w:pPr>
      <w:r>
        <w:rPr>
          <w:b/>
          <w:i w:val="0"/>
        </w:rPr>
        <w:t>cho từng cấp ngân sách</w:t>
      </w:r>
    </w:p>
    <w:p>
      <w:pPr>
        <w:jc w:val="center"/>
      </w:pPr>
      <w:r>
        <w:rPr>
          <w:b/>
          <w:i w:val="0"/>
        </w:rPr>
        <w:t>______________________</w:t>
      </w:r>
    </w:p>
    <w:p>
      <w:pPr>
        <w:jc w:val="center"/>
      </w:pPr>
      <w:r>
        <w:rPr>
          <w:b/>
          <w:i w:val="0"/>
        </w:rPr>
        <w:t>ỦY BAN NHÂN DÂN THÀNH PHỐ HỒ CHÍ MINH</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Ngân sách nhà nước ngày 25 tháng 6 năm 2015;</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Thông tư số 300/2016/TT-BTC ngày 15 tháng 11 năm 2016 của Bộ Tài chính quy định sửa đổi, bổ sung hệ thống mục lục ngân sách nhà nước;</w:t>
      </w:r>
    </w:p>
    <w:p>
      <w:pPr>
        <w:jc w:val="both"/>
      </w:pPr>
      <w:r>
        <w:rPr>
          <w:b w:val="0"/>
          <w:i/>
        </w:rPr>
        <w:t>Căn cứ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w:t>
      </w:r>
    </w:p>
    <w:p>
      <w:pPr>
        <w:jc w:val="both"/>
      </w:pPr>
      <w:r>
        <w:rPr>
          <w:b w:val="0"/>
          <w:i/>
        </w:rPr>
        <w:t>Căn cứ Thông tư số 326/2016/TT-BTC ngày 23 tháng 12 năm 2016 của Bộ Tài chính quy định về tổ chức thực hiện dự toán ngân sách nhà nước năm 2017;</w:t>
      </w:r>
    </w:p>
    <w:p>
      <w:pPr>
        <w:jc w:val="both"/>
      </w:pPr>
      <w:r>
        <w:rPr>
          <w:b w:val="0"/>
          <w:i/>
        </w:rPr>
        <w:t>Căn cứ Nghị quyết số 118/2016/NQ-HĐND ngày 09 tháng 12 năm 2016 của Hội đồng nhân dân thành phố về quy định phân cấp nguồn thu, nhiệm vụ chi thời kỳ ổn định ngân sách 2017 - 2020 cho từng cấp ngân sách ở thành phố và tỷ lệ phần trăm (%) phân chia các khoản thu giữa ngân sách các cấp ở thành phố;</w:t>
      </w:r>
    </w:p>
    <w:p>
      <w:pPr>
        <w:jc w:val="both"/>
      </w:pPr>
      <w:r>
        <w:rPr>
          <w:b w:val="0"/>
          <w:i/>
        </w:rPr>
        <w:t>Căn cứ Nghị quyết số 09/2017/NQ-HĐND ngày 07 tháng 12 năm 2017 của Hội đồng nhân dân thành phố khóa IX, kỳ họp thứ sáu về Quy định phân cấp nguồn thu chậm nộp ngân sách địa phương cho từng cấp ngân sách.</w:t>
      </w:r>
    </w:p>
    <w:p>
      <w:pPr>
        <w:jc w:val="center"/>
      </w:pPr>
      <w:r>
        <w:rPr>
          <w:b/>
          <w:i w:val="0"/>
        </w:rPr>
        <w:t>QUYẾT ĐỊNH:</w:t>
      </w:r>
    </w:p>
    <w:p>
      <w:r>
        <w:rPr>
          <w:b/>
          <w:i w:val="0"/>
        </w:rPr>
        <w:t xml:space="preserve">Điều 1. </w:t>
      </w:r>
      <w:r>
        <w:rPr>
          <w:b w:val="0"/>
          <w:i w:val="0"/>
        </w:rPr>
        <w:t>Nguồn thu chậm nộp ngân sách địa phương được hưởng theo quy định được phân cấp như sau:</w:t>
      </w:r>
    </w:p>
    <w:p>
      <w:r>
        <w:rPr>
          <w:b/>
          <w:i w:val="0"/>
        </w:rPr>
        <w:t>1.</w:t>
      </w:r>
      <w:r>
        <w:rPr>
          <w:b w:val="0"/>
          <w:i w:val="0"/>
        </w:rPr>
        <w:t xml:space="preserve"> Ngân sách cấp thành phố hưởng 100% tiền chậm nộp phát sinh từ đối tượng thuộc cấp thành phố quản lý và đơn vị thuộc trung ương quản lý (trừ những khoản chậm nộp phát sinh từ những khoản thu phân chia theo tỷ lệ phần trăm giữa ngân sách trung ương và ngân sách cấp thành phố; ngân sách trung ương, ngân sách cấp thành phố và ngân sách cấp huyện quy định tại Khoản 4 điều này).</w:t>
      </w:r>
    </w:p>
    <w:p>
      <w:r>
        <w:rPr>
          <w:b/>
          <w:i w:val="0"/>
        </w:rPr>
        <w:t>2.</w:t>
      </w:r>
      <w:r>
        <w:rPr>
          <w:b w:val="0"/>
          <w:i w:val="0"/>
        </w:rPr>
        <w:t xml:space="preserve"> Ngân sách cấp huyện hưởng 100% tiền chậm nộp phát sinh từ đối tượng thuộc cấp huyện quản lý (trừ những khoản chậm nộp phát sinh từ những khoản thu phân chia theo tỷ lệ phần trăm giữa ngân sách trung ương và ngân sách cấp thành phố; ngân sách trung ương, ngân sách cấp thành phố và ngân sách cấp huyện quy định tại Khoản 4 điều này).</w:t>
      </w:r>
    </w:p>
    <w:p>
      <w:r>
        <w:rPr>
          <w:b/>
          <w:i w:val="0"/>
        </w:rPr>
        <w:t>3.</w:t>
      </w:r>
      <w:r>
        <w:rPr>
          <w:b w:val="0"/>
          <w:i w:val="0"/>
        </w:rPr>
        <w:t xml:space="preserve"> Ngân sách cấp xã hưởng 100% tiền chậm nộp phát sinh từ đối tượng thuộc cấp xã quản lý.</w:t>
      </w:r>
    </w:p>
    <w:p>
      <w:r>
        <w:rPr>
          <w:b/>
          <w:i w:val="0"/>
        </w:rPr>
        <w:t>4.</w:t>
      </w:r>
      <w:r>
        <w:rPr>
          <w:b w:val="0"/>
          <w:i w:val="0"/>
        </w:rPr>
        <w:t xml:space="preserve"> Ngân sách cấp thành phố, cấp huyện được hưởng theo tỷ lệ điều tiết tương ứng các khoản chậm nộp phát sinh từ các khoản thu phân chia theo tỷ lệ đã được quy định tại điểm 1.2, 1.3 phần I Phụ lục 1 đính kèm Quyết định số 54/2016/QĐ-UBND ngày 10 tháng 12 năm 2016 của Ủy ban nhân dân thành phố.</w:t>
      </w:r>
    </w:p>
    <w:p>
      <w:r>
        <w:rPr>
          <w:b/>
          <w:i w:val="0"/>
        </w:rPr>
        <w:t>Điều 2. Hiệu lực thi hành:</w:t>
      </w:r>
    </w:p>
    <w:p>
      <w:r>
        <w:rPr>
          <w:b w:val="0"/>
          <w:i w:val="0"/>
        </w:rPr>
        <w:t>Quyết định này có hiệu lực thi hành từ ngày 01 tháng 01 năm 2018 và áp dụng từ năm ngân sách 2018 - 2020.</w:t>
      </w:r>
    </w:p>
    <w:p>
      <w:r>
        <w:rPr>
          <w:b/>
          <w:i w:val="0"/>
        </w:rPr>
        <w:t xml:space="preserve">Điều 3. </w:t>
      </w:r>
      <w:r>
        <w:rPr>
          <w:b w:val="0"/>
          <w:i w:val="0"/>
        </w:rPr>
        <w:t>Chánh Văn phòng Ủy ban nhân dân thành phố, Giám đốc Sở Tài chính, Giám đốc Kho bạc nhà nước thành phố, Cục trưởng Cục Thuế thành phố, Cục trưởng Cục Hải quan thành phố, Tổng Giám đốc Công ty TNHH Một thành viên Xổ số kiến thiết thành phố, Thủ trưởng các cơ quan chuyên môn thuộc Ủy ban nhân dân thành phố, Chủ tịch Ủy ban nhân dân các quận - huyện và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Vĩnh Tuyến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Vĩnh Tuyến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Vĩnh Tuyến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Vĩnh Tuyến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