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64/2003/QĐ-TTg Về việc phê duyệt Đề án tổng thể sắp xếp, đổi mới doanh nghiệp nhà nớc thuộc ủy ban nhân dân tỉnh Thừa Thiên Huế đến năm 2005</w:t>
      </w:r>
    </w:p>
    <w:p>
      <w:r>
        <w:rPr>
          <w:b w:val="0"/>
          <w:i w:val="0"/>
        </w:rPr>
        <w:br/>
      </w:r>
      <w:r>
        <w:rPr>
          <w:b w:val="0"/>
          <w:i w:val="0"/>
        </w:rPr>
        <w:br/>
      </w:r>
      <w:r>
        <w:rPr>
          <w:b/>
          <w:i w:val="0"/>
        </w:rPr>
        <w:br/>
      </w:r>
      <w:r>
        <w:rPr>
          <w:b/>
          <w:i w:val="0"/>
        </w:rPr>
        <w:br/>
      </w:r>
      <w:r>
        <w:rPr>
          <w:b/>
          <w:i w:val="0"/>
        </w:rPr>
        <w:t>THỦ TƯỚNG</w:t>
      </w:r>
      <w:r>
        <w:rPr>
          <w:b/>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64/2003/QĐ-TTg</w:t>
      </w:r>
      <w:r>
        <w:rPr>
          <w:b w:val="0"/>
          <w:i w:val="0"/>
        </w:rPr>
        <w:br/>
      </w:r>
      <w:r>
        <w:rPr>
          <w:b w:val="0"/>
          <w:i w:val="0"/>
        </w:rPr>
        <w:br/>
      </w:r>
      <w:r>
        <w:rPr>
          <w:b w:val="0"/>
          <w:i/>
        </w:rPr>
        <w:br/>
      </w:r>
      <w:r>
        <w:rPr>
          <w:b w:val="0"/>
          <w:i/>
        </w:rPr>
        <w:t>Hà Nội, ngày 14 tháng 01 năm 2003</w:t>
      </w:r>
      <w:r>
        <w:rPr>
          <w:b w:val="0"/>
          <w:i/>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THỦ TƯỚNG</w:t>
      </w:r>
      <w:r>
        <w:rPr>
          <w:b w:val="0"/>
          <w:i w:val="0"/>
        </w:rPr>
        <w:br/>
      </w:r>
      <w:r>
        <w:rPr>
          <w:b w:val="0"/>
          <w:i w:val="0"/>
        </w:rPr>
        <w:br/>
      </w:r>
      <w:r>
        <w:rPr>
          <w:b w:val="0"/>
          <w:i w:val="0"/>
        </w:rPr>
        <w:br/>
      </w:r>
      <w:r>
        <w:rPr>
          <w:b w:val="0"/>
          <w:i w:val="0"/>
        </w:rPr>
        <w:t>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THỦ TƯỚNG</w:t>
      </w:r>
      <w:r>
        <w:rPr>
          <w:b w:val="0"/>
          <w:i w:val="0"/>
        </w:rPr>
        <w:br/>
      </w:r>
    </w:p>
    <w:p>
      <w:r>
        <w:rPr>
          <w:b w:val="0"/>
          <w:i w:val="0"/>
        </w:rPr>
        <w:br/>
      </w:r>
      <w:r>
        <w:rPr>
          <w:b w:val="0"/>
          <w:i w:val="0"/>
        </w:rPr>
        <w:t>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64/2003/QĐ-TTg</w:t>
      </w:r>
      <w:r>
        <w:rPr>
          <w:b w:val="0"/>
          <w:i w:val="0"/>
        </w:rPr>
        <w:br/>
      </w:r>
      <w:r>
        <w:rPr>
          <w:b w:val="0"/>
          <w:i w:val="0"/>
        </w:rPr>
        <w:br/>
      </w:r>
      <w:r>
        <w:rPr>
          <w:b w:val="0"/>
          <w:i/>
        </w:rPr>
        <w:br/>
      </w:r>
      <w:r>
        <w:rPr>
          <w:b w:val="0"/>
          <w:i/>
        </w:rPr>
        <w:t>Hà Nội, ngày 14 tháng 01 năm 2003</w:t>
      </w:r>
      <w:r>
        <w:rPr>
          <w:b w:val="0"/>
          <w:i/>
        </w:rPr>
        <w:br/>
      </w:r>
      <w:r>
        <w:rPr>
          <w:b w:val="0"/>
          <w:i w:val="0"/>
        </w:rPr>
        <w:br/>
      </w:r>
    </w:p>
    <w:p>
      <w:pPr>
        <w:jc w:val="center"/>
      </w:pPr>
      <w:r>
        <w:rPr>
          <w:b w:val="0"/>
          <w:i w:val="0"/>
        </w:rPr>
        <w:br/>
      </w:r>
      <w:r>
        <w:rPr>
          <w:b w:val="0"/>
          <w:i w:val="0"/>
        </w:rPr>
        <w:t>Số: 64/2003/QĐ-TTg</w:t>
      </w:r>
      <w:r>
        <w:rPr>
          <w:b w:val="0"/>
          <w:i w:val="0"/>
        </w:rPr>
        <w:br/>
      </w:r>
    </w:p>
    <w:p>
      <w:pPr>
        <w:jc w:val="center"/>
      </w:pPr>
      <w:r>
        <w:rPr>
          <w:b w:val="0"/>
          <w:i w:val="0"/>
        </w:rPr>
        <w:br/>
      </w:r>
      <w:r>
        <w:rPr>
          <w:b w:val="0"/>
          <w:i w:val="0"/>
        </w:rPr>
        <w:t>Hà Nội, ngày 14 tháng 01 năm 2003</w:t>
      </w:r>
      <w:r>
        <w:rPr>
          <w:b w:val="0"/>
          <w:i w:val="0"/>
        </w:rPr>
        <w:br/>
      </w:r>
    </w:p>
    <w:p>
      <w:r>
        <w:rPr>
          <w:b w:val="0"/>
          <w:i w:val="0"/>
        </w:rPr>
        <w:br/>
      </w:r>
      <w:r>
        <w:rPr>
          <w:b/>
          <w:i w:val="0"/>
        </w:rPr>
        <w:t>QUYẾT ĐỊNH</w:t>
      </w:r>
      <w:r>
        <w:rPr>
          <w:b w:val="0"/>
          <w:i w:val="0"/>
        </w:rPr>
        <w:br/>
      </w:r>
      <w:r>
        <w:rPr>
          <w:b/>
          <w:i w:val="0"/>
        </w:rPr>
        <w:t>Về việc phê duyệt phương án tổng thể sắp xếp, đổi mới doanh nghiệp nhà</w:t>
      </w:r>
      <w:r>
        <w:rPr>
          <w:b w:val="0"/>
          <w:i w:val="0"/>
        </w:rPr>
        <w:br/>
      </w:r>
      <w:r>
        <w:rPr>
          <w:b/>
          <w:i w:val="0"/>
        </w:rPr>
        <w:t>nước  thuộc Ủy ban nhân dân tỉnh Thừa Thiên – Huế đến năm 2005</w:t>
      </w:r>
      <w:r>
        <w:rPr>
          <w:b w:val="0"/>
          <w:i w:val="0"/>
        </w:rPr>
        <w:br/>
      </w:r>
      <w:r>
        <w:rPr>
          <w:b w:val="0"/>
          <w:i w:val="0"/>
        </w:rPr>
        <w:t>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Tồng công ty nhà nước;</w:t>
      </w:r>
      <w:r>
        <w:rPr>
          <w:b w:val="0"/>
          <w:i w:val="0"/>
        </w:rPr>
        <w:br/>
      </w:r>
      <w:r>
        <w:rPr>
          <w:b w:val="0"/>
          <w:i/>
        </w:rPr>
        <w:t>Xét đề nghị của Uỷ ban nhân dân tỉnh Thừa Thiên-Huế (Công văn số 2106/CN-UB ngày 03  tháng 10  năm 2002; ý kiến các Bộ: Tài chính (Công văn số 12112/TC-TCDN ngày 11 tháng 11 năm 2002), Kế hoạch và Đầu tư (Công văn số 6701/BKH-DN ngày 21 tháng 10 năm 2002, Nội vụ (Công văn số 590/BNV-TCCB ngày 25 tháng 10 năm 2002), Lao động - Thương binh và Xã hội (Công văn số 3651/LĐTBXH-CSLĐVL ngày 24 tháng 10 năm 2002), Nông nghiệp và Phát triển Nông thôn (công văn số 4245/BNN-TCCB ngày 25 tháng 10 năm 2002).</w:t>
      </w:r>
      <w:r>
        <w:rPr>
          <w:b w:val="0"/>
          <w:i w:val="0"/>
        </w:rPr>
        <w:br/>
      </w:r>
      <w:r>
        <w:rPr>
          <w:b/>
          <w:i w:val="0"/>
        </w:rPr>
        <w:t>QUYẾT ĐỊNH:</w:t>
      </w:r>
      <w:r>
        <w:rPr>
          <w:b w:val="0"/>
          <w:i w:val="0"/>
        </w:rPr>
        <w:br/>
      </w:r>
      <w:r>
        <w:rPr>
          <w:b/>
          <w:i w:val="0"/>
        </w:rPr>
        <w:t>Điều 1.</w:t>
      </w:r>
      <w:r>
        <w:rPr>
          <w:b w:val="0"/>
          <w:i w:val="0"/>
        </w:rPr>
        <w:t xml:space="preserve"> Phê duyệt Đề án tổng thể sắp xếp, đổi mới doanh nghiệp nhà nước thuộc Ủy ban nhân dân tỉnh Thừa Thiên - Huế đến năm 2005 như Phụ lục kèm theo.</w:t>
      </w:r>
      <w:r>
        <w:rPr>
          <w:b w:val="0"/>
          <w:i w:val="0"/>
        </w:rPr>
        <w:br/>
      </w:r>
      <w:r>
        <w:rPr>
          <w:b/>
          <w:i w:val="0"/>
        </w:rPr>
        <w:t xml:space="preserve">Điều 2. </w:t>
      </w:r>
      <w:r>
        <w:rPr>
          <w:b w:val="0"/>
          <w:i w:val="0"/>
        </w:rPr>
        <w:t>Uỷ ban nhân dân tỉnh Thừa Thiên - Huế chỉ đạo thực hiện việc sắp xếp, đổi mới doanh nghiệp nhà nước trực thuộc theo đúng nội dung và tiến độ đã được phê duyệt; đồng thời có biện pháp để đầu tư phát triển, mở rộng sản xuất kinh doanh, nâng cao hiệu quả hoạt động của các doanh nghiệp mà Nhà nước nắm giữ trên 50% vốn điều lệ. Trường hợp điều chỉnh, bổ sung Đề án phải được sự chấp thuận của Thủ tướng Chính phủ.</w:t>
      </w:r>
      <w:r>
        <w:rPr>
          <w:b w:val="0"/>
          <w:i w:val="0"/>
        </w:rPr>
        <w:br/>
      </w:r>
      <w:r>
        <w:rPr>
          <w:b/>
          <w:i w:val="0"/>
        </w:rPr>
        <w:t xml:space="preserve">Điều 3. </w:t>
      </w:r>
      <w:r>
        <w:rPr>
          <w:b w:val="0"/>
          <w:i w:val="0"/>
        </w:rPr>
        <w:t>Các Bộ: Tài chính, Kế hoạch và Đầu tư, Lao động - Thương binh và Xã hội, Nội vụ và các Bộ liên quan có trách nhiệm phối hợp với Uỷ ban nhân dân tỉnh Thừa Thiên -Huế trong thực hiện Đề án này.</w:t>
      </w:r>
      <w:r>
        <w:rPr>
          <w:b w:val="0"/>
          <w:i w:val="0"/>
        </w:rPr>
        <w:br/>
      </w:r>
      <w:r>
        <w:rPr>
          <w:b w:val="0"/>
          <w:i w:val="0"/>
        </w:rPr>
        <w:t>Ban Chỉ đạo Đổi mới và Phát triển doanh nghiệp chịu trách nhiệm đôn đốc, hướng dẫn và theo dõi việc thực hiện Đề án này, đồng thời kiến nghị với</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Uỷ ban nhân dân tỉnh Thừa Thiên - Huế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 CHÍNH PHỦ</w:t>
      </w:r>
      <w:r>
        <w:rPr>
          <w:b w:val="0"/>
          <w:i w:val="0"/>
        </w:rPr>
        <w:br/>
      </w:r>
      <w:r>
        <w:rPr>
          <w:b/>
          <w:i w:val="0"/>
        </w:rPr>
        <w:t>PHÓ THỦ TƯỚNG</w:t>
      </w:r>
      <w:r>
        <w:rPr>
          <w:b w:val="0"/>
          <w:i w:val="0"/>
        </w:rPr>
        <w:br/>
      </w:r>
      <w:r>
        <w:rPr>
          <w:b w:val="0"/>
          <w:i w:val="0"/>
        </w:rPr>
        <w:t xml:space="preserve"> </w:t>
      </w:r>
      <w:r>
        <w:rPr>
          <w:b w:val="0"/>
          <w:i w:val="0"/>
        </w:rPr>
        <w:br/>
      </w:r>
      <w:r>
        <w:rPr>
          <w:b/>
          <w:i/>
        </w:rPr>
        <w:t xml:space="preserve">(Đã ký) </w:t>
      </w:r>
      <w:r>
        <w:rPr>
          <w:b w:val="0"/>
          <w:i w:val="0"/>
        </w:rPr>
        <w:br/>
      </w:r>
      <w:r>
        <w:rPr>
          <w:b w:val="0"/>
          <w:i w:val="0"/>
        </w:rPr>
        <w:t xml:space="preserve"> </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val="0"/>
                <w:i w:val="0"/>
              </w:rPr>
              <w:t xml:space="preserve"> </w:t>
            </w:r>
            <w:r>
              <w:rPr>
                <w:b w:val="0"/>
                <w:i w:val="0"/>
              </w:rPr>
              <w:br/>
            </w:r>
            <w:r>
              <w:rPr>
                <w:b/>
                <w:i/>
              </w:rPr>
              <w:t xml:space="preserve">(Đã ký) </w:t>
            </w:r>
            <w:r>
              <w:rPr>
                <w:b w:val="0"/>
                <w:i w:val="0"/>
              </w:rPr>
              <w:br/>
            </w:r>
            <w:r>
              <w:rPr>
                <w:b w:val="0"/>
                <w:i w:val="0"/>
              </w:rPr>
              <w:t xml:space="preserve"> </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