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64/2005/QĐ-TTg Về việc phân định các lô dầu khí khu vực Vịnh Bắc Bộ</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64/2005/QĐ-TTg</w:t>
        <w:br/>
        <w:t xml:space="preserve">     </w:t>
      </w:r>
      <w:r>
        <w:rPr>
          <w:b w:val="0"/>
          <w:i w:val="0"/>
        </w:rPr>
        <w:br/>
      </w:r>
      <w:r>
        <w:rPr>
          <w:b w:val="0"/>
          <w:i/>
        </w:rPr>
        <w:br/>
        <w:t xml:space="preserve">      Hà Nội, ngày 25 tháng 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64/2005/QĐ-TTg</w:t>
        <w:br/>
        <w:t xml:space="preserve">     </w:t>
      </w:r>
      <w:r>
        <w:rPr>
          <w:b w:val="0"/>
          <w:i w:val="0"/>
        </w:rPr>
        <w:br/>
      </w:r>
      <w:r>
        <w:rPr>
          <w:b w:val="0"/>
          <w:i/>
        </w:rPr>
        <w:br/>
        <w:t xml:space="preserve">      Hà Nội, ngày 25 tháng 3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64/2005/QĐ-TTg</w:t>
        <w:br/>
        <w:t xml:space="preserve">     </w:t>
      </w:r>
      <w:r>
        <w:rPr>
          <w:b w:val="0"/>
          <w:i w:val="0"/>
        </w:rPr>
        <w:br/>
      </w:r>
      <w:r>
        <w:rPr>
          <w:b w:val="0"/>
          <w:i/>
        </w:rPr>
        <w:br/>
        <w:t xml:space="preserve">      Hà Nội, ngày 25 tháng 3 năm 2005</w:t>
        <w:br/>
        <w:t xml:space="preserve">     </w:t>
      </w:r>
      <w:r>
        <w:rPr>
          <w:b w:val="0"/>
          <w:i w:val="0"/>
        </w:rPr>
        <w:br/>
      </w:r>
    </w:p>
    <w:p>
      <w:pPr>
        <w:jc w:val="center"/>
      </w:pPr>
      <w:r>
        <w:rPr>
          <w:b w:val="0"/>
          <w:i w:val="0"/>
        </w:rPr>
        <w:br/>
        <w:t xml:space="preserve">      Số: 64/2005/QĐ-TTg</w:t>
        <w:br/>
        <w:t xml:space="preserve">     </w:t>
      </w:r>
    </w:p>
    <w:p>
      <w:pPr>
        <w:jc w:val="center"/>
      </w:pPr>
      <w:r>
        <w:rPr>
          <w:b w:val="0"/>
          <w:i w:val="0"/>
        </w:rPr>
        <w:br/>
        <w:t xml:space="preserve">      Hà Nội, ngày 25 tháng 3 năm 2005</w:t>
        <w:br/>
        <w:t xml:space="preserve">     </w:t>
      </w:r>
    </w:p>
    <w:p>
      <w:r>
        <w:rPr>
          <w:b/>
          <w:i w:val="0"/>
        </w:rPr>
        <w:t>QUYẾT ĐỊNH</w:t>
      </w:r>
    </w:p>
    <w:p>
      <w:r>
        <w:rPr>
          <w:b/>
          <w:i w:val="0"/>
        </w:rPr>
        <w:t>Về việc phân định các lô dầu khí khu vực Vịnh Bắc Bộ.</w:t>
      </w:r>
    </w:p>
    <w:p>
      <w:r>
        <w:rPr>
          <w:b/>
          <w:i w:val="0"/>
        </w:rPr>
        <w:t>___________________________</w:t>
      </w:r>
    </w:p>
    <w:p>
      <w:r>
        <w:rPr>
          <w:b/>
          <w:i w:val="0"/>
        </w:rPr>
        <w:t>THỦ TƯỚNG CHÍNH PHỦ</w:t>
      </w:r>
    </w:p>
    <w:p>
      <w:r>
        <w:rPr>
          <w:b w:val="0"/>
          <w:i/>
        </w:rPr>
        <w:t>Căn cứ Luật Tổ chức Chính phủ ngày 25 tháng 12 năm 2001;</w:t>
      </w:r>
    </w:p>
    <w:p>
      <w:r>
        <w:rPr>
          <w:b w:val="0"/>
          <w:i/>
        </w:rPr>
        <w:t>Căn cứ Luật sửa đổi, bổ sung một số điều của Luật Dầu khí ngày 09 tháng 06 năm 2000;</w:t>
      </w:r>
    </w:p>
    <w:p>
      <w:r>
        <w:rPr>
          <w:b w:val="0"/>
          <w:i/>
        </w:rPr>
        <w:t>Căn cứ Nghị định số 48/2000/NĐ-CP ngày 12 tháng 09 năm 2000 của Chính phủ quy định chi tiết thi hành Luật Dầu khí;</w:t>
      </w:r>
    </w:p>
    <w:p>
      <w:r>
        <w:rPr>
          <w:b w:val="0"/>
          <w:i/>
        </w:rPr>
        <w:t>Xét đề nghị của Chủ tịch Hội đồng quản trị Tổng công ty Dầu khí Việt Nam tại Công văn số 6289/CV-HĐQT ngày 29 tháng 11 năm 2004,</w:t>
      </w:r>
    </w:p>
    <w:p>
      <w:pPr>
        <w:jc w:val="center"/>
      </w:pPr>
      <w:r>
        <w:rPr>
          <w:b w:val="0"/>
          <w:i w:val="0"/>
        </w:rPr>
        <w:t xml:space="preserve"> </w:t>
      </w:r>
      <w:r>
        <w:rPr>
          <w:b/>
          <w:i w:val="0"/>
        </w:rPr>
        <w:t>QUYẾT ĐỊNH:</w:t>
      </w:r>
    </w:p>
    <w:p>
      <w:pPr>
        <w:jc w:val="both"/>
      </w:pPr>
      <w:r>
        <w:rPr>
          <w:b/>
          <w:i w:val="0"/>
        </w:rPr>
        <w:t>Điều 1.</w:t>
      </w:r>
      <w:r>
        <w:rPr>
          <w:b w:val="0"/>
          <w:i w:val="0"/>
        </w:rPr>
        <w:t xml:space="preserve"> Phân định các lô dầu khí khu vực Vịnh Bắc Bộ (Phụ lục kèm theo).</w:t>
      </w:r>
    </w:p>
    <w:p>
      <w:pPr>
        <w:jc w:val="both"/>
      </w:pPr>
      <w:r>
        <w:rPr>
          <w:b/>
          <w:i w:val="0"/>
        </w:rPr>
        <w:t xml:space="preserve">Điều 2. </w:t>
      </w:r>
      <w:r>
        <w:rPr>
          <w:b w:val="0"/>
          <w:i w:val="0"/>
        </w:rPr>
        <w:t>Quyết định này có hiệu lực sau 15 ngày, kể từ ngày đăng Công báo.</w:t>
      </w:r>
    </w:p>
    <w:p>
      <w:pPr>
        <w:jc w:val="both"/>
      </w:pPr>
      <w:r>
        <w:rPr>
          <w:b/>
          <w:i w:val="0"/>
        </w:rPr>
        <w:t xml:space="preserve">Điều 3. </w:t>
      </w:r>
      <w:r>
        <w:rPr>
          <w:b w:val="0"/>
          <w:i w:val="0"/>
        </w:rPr>
        <w:t>Bộ trưởng các Bộ: Kế hoạch và Đầu tư, Công nghiệp, Tài chính, Tư pháp, Ngoại giao, Quốc phòng, Chủ tịch Hội đồng quản trị, Tổng giám đốc Tổng công ty Dầu khí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