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655/2003/QĐ-NHNN Về việc chấm dứt hoạt động và sáp nhập Tổng công ty Vàng bạc đá quý Việt Nam vào Ngân hàng Nông nghiệp và Phát triển nông thôn Việt Nam, và Ngân hàng Phát triển Nhà đồng bằng sông Cửu Long.</w:t>
      </w:r>
    </w:p>
    <w:p>
      <w:r>
        <w:rPr>
          <w:b w:val="0"/>
          <w:i w:val="0"/>
        </w:rPr>
        <w:br/>
      </w:r>
      <w:r>
        <w:rPr>
          <w:b w:val="0"/>
          <w:i w:val="0"/>
        </w:rPr>
        <w:br/>
      </w:r>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655/2003/QĐ-NHNN</w:t>
        <w:br/>
        <w:t xml:space="preserve">     </w:t>
      </w:r>
      <w:r>
        <w:rPr>
          <w:b w:val="0"/>
          <w:i w:val="0"/>
        </w:rPr>
        <w:br/>
      </w:r>
      <w:r>
        <w:rPr>
          <w:b w:val="0"/>
          <w:i/>
        </w:rPr>
        <w:br/>
        <w:t xml:space="preserve">      Hà Nội, ngày 25 tháng 6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655/2003/QĐ-NHNN</w:t>
        <w:br/>
        <w:t xml:space="preserve">     </w:t>
      </w:r>
      <w:r>
        <w:rPr>
          <w:b w:val="0"/>
          <w:i w:val="0"/>
        </w:rPr>
        <w:br/>
      </w:r>
      <w:r>
        <w:rPr>
          <w:b w:val="0"/>
          <w:i/>
        </w:rPr>
        <w:br/>
        <w:t xml:space="preserve">      Hà Nội, ngày 25 tháng 6 năm 2003</w:t>
        <w:br/>
        <w:t xml:space="preserve">     </w:t>
      </w:r>
      <w:r>
        <w:rPr>
          <w:b w:val="0"/>
          <w:i w:val="0"/>
        </w:rPr>
        <w:br/>
      </w:r>
      <w:r>
        <w:rPr>
          <w:b w:val="0"/>
          <w:i w:val="0"/>
        </w:rPr>
        <w:br/>
      </w:r>
    </w:p>
    <w:p>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w:t>
        <w:br/>
        <w:t xml:space="preserve">      </w:t>
      </w:r>
      <w:r>
        <w:rPr>
          <w:b w:val="0"/>
          <w:i w:val="0"/>
        </w:rPr>
        <w:br/>
      </w:r>
      <w:r>
        <w:rPr>
          <w:b w:val="0"/>
          <w:i w:val="0"/>
        </w:rPr>
        <w:br/>
        <w:t xml:space="preserve">       VIỆT NAM</w:t>
        <w:br/>
        <w:t xml:space="preserve">      </w:t>
      </w:r>
      <w:r>
        <w:rPr>
          <w:b w:val="0"/>
          <w:i w:val="0"/>
        </w:rPr>
        <w:br/>
      </w:r>
      <w:r>
        <w:rPr>
          <w:b w:val="0"/>
          <w:i w:val="0"/>
        </w:rPr>
        <w:br/>
      </w:r>
    </w:p>
    <w:p>
      <w:r>
        <w:rPr>
          <w:b w:val="0"/>
          <w:i w:val="0"/>
        </w:rPr>
        <w:br/>
        <w:t xml:space="preserve">       NGÂN HÀNG NHÀ NƯỚC</w:t>
        <w:br/>
        <w:t xml:space="preserve">      </w:t>
      </w:r>
    </w:p>
    <w:p>
      <w:r>
        <w:rPr>
          <w:b w:val="0"/>
          <w:i w:val="0"/>
        </w:rPr>
        <w:br/>
        <w:t xml:space="preserve">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655/2003/QĐ-NHNN</w:t>
        <w:br/>
        <w:t xml:space="preserve">     </w:t>
      </w:r>
      <w:r>
        <w:rPr>
          <w:b w:val="0"/>
          <w:i w:val="0"/>
        </w:rPr>
        <w:br/>
      </w:r>
      <w:r>
        <w:rPr>
          <w:b w:val="0"/>
          <w:i/>
        </w:rPr>
        <w:br/>
        <w:t xml:space="preserve">      Hà Nội, ngày 25 tháng 6 năm 2003</w:t>
        <w:br/>
        <w:t xml:space="preserve">     </w:t>
      </w:r>
      <w:r>
        <w:rPr>
          <w:b w:val="0"/>
          <w:i w:val="0"/>
        </w:rPr>
        <w:br/>
      </w:r>
    </w:p>
    <w:p>
      <w:pPr>
        <w:jc w:val="center"/>
      </w:pPr>
      <w:r>
        <w:rPr>
          <w:b w:val="0"/>
          <w:i w:val="0"/>
        </w:rPr>
        <w:br/>
        <w:t xml:space="preserve">      Số: 655/2003/QĐ-NHNN</w:t>
        <w:br/>
        <w:t xml:space="preserve">     </w:t>
      </w:r>
    </w:p>
    <w:p>
      <w:pPr>
        <w:jc w:val="center"/>
      </w:pPr>
      <w:r>
        <w:rPr>
          <w:b w:val="0"/>
          <w:i w:val="0"/>
        </w:rPr>
        <w:br/>
        <w:t xml:space="preserve">      Hà Nội, ngày 25 tháng 6 năm 2003</w:t>
        <w:br/>
        <w:t xml:space="preserve">     </w:t>
      </w:r>
    </w:p>
    <w:p>
      <w:r>
        <w:rPr>
          <w:b w:val="0"/>
          <w:i w:val="0"/>
        </w:rPr>
        <w:br/>
      </w:r>
      <w:r>
        <w:rPr>
          <w:b/>
          <w:i w:val="0"/>
        </w:rPr>
        <w:t xml:space="preserve">QUYẾT  ĐỊNH CỦA THỐNG ĐỐC NGÂN HÀNG NHÀ NƯỚC </w:t>
      </w:r>
      <w:r>
        <w:rPr>
          <w:b w:val="0"/>
          <w:i w:val="0"/>
        </w:rPr>
        <w:br/>
      </w:r>
      <w:r>
        <w:rPr>
          <w:b/>
          <w:i w:val="0"/>
        </w:rPr>
        <w:t>V/v chấm dứt hoạt động và sáp nhập Tổng công ty Vàng bạc đá quý Việt Nam vào Ngân hàng Nông nghiệp và Phát triển nông thôn Việt Nam, và Ngân hàng Phát triển Nhà đồng bằng sông Cửu Long</w:t>
      </w:r>
      <w:r>
        <w:rPr>
          <w:b w:val="0"/>
          <w:i w:val="0"/>
        </w:rPr>
        <w:br/>
      </w:r>
      <w:r>
        <w:rPr>
          <w:b/>
          <w:i w:val="0"/>
        </w:rPr>
        <w:t>-------------------------</w:t>
      </w:r>
      <w:r>
        <w:rPr>
          <w:b w:val="0"/>
          <w:i w:val="0"/>
        </w:rPr>
        <w:br/>
      </w:r>
      <w:r>
        <w:rPr>
          <w:b w:val="0"/>
          <w:i/>
        </w:rPr>
        <w:t>Căn cứ Luật Ngân hàng Nhà nước Việt Nam số 01/1997/QH-10 ngày 12/12/1997;</w:t>
      </w:r>
      <w:r>
        <w:rPr>
          <w:b w:val="0"/>
          <w:i w:val="0"/>
        </w:rPr>
        <w:br/>
      </w:r>
      <w:r>
        <w:rPr>
          <w:b w:val="0"/>
          <w:i/>
        </w:rPr>
        <w:t>Căn cứ Luật Doanh nghiệp nhà nước ngày 20/4/1995;</w:t>
      </w:r>
      <w:r>
        <w:rPr>
          <w:b w:val="0"/>
          <w:i w:val="0"/>
        </w:rPr>
        <w:br/>
      </w:r>
      <w:r>
        <w:rPr>
          <w:b w:val="0"/>
          <w:i/>
        </w:rPr>
        <w:t>Căn cứ Nghị định số 86/2002/NĐ-CP ngày 05/11/2002 của Chính phủ quy định chức năng, nhiệm vụ, quyền hạn và cơ cấu tổ chức của Bộ, cơ quan ngang Bộ;</w:t>
      </w:r>
      <w:r>
        <w:rPr>
          <w:b w:val="0"/>
          <w:i w:val="0"/>
        </w:rPr>
        <w:br/>
      </w:r>
      <w:r>
        <w:rPr>
          <w:b w:val="0"/>
          <w:i/>
        </w:rPr>
        <w:t>Căn cứ Nghị định số 50-CP ngày 28/8/1996 của Chính phủ về thành lập, tổ chức lại, giải thể và phá sản doanh nghiệp nhà nước và Nghị định số 38/CP ngày 28/4/1997 của Chính phủ về sửa đổi và bổ sung một số điều của Nghị định số 50/CP;</w:t>
      </w:r>
      <w:r>
        <w:rPr>
          <w:b w:val="0"/>
          <w:i w:val="0"/>
        </w:rPr>
        <w:br/>
      </w:r>
      <w:r>
        <w:rPr>
          <w:b w:val="0"/>
          <w:i/>
        </w:rPr>
        <w:t>Căn cứ Quyết định số 98/2003/QĐ-TTg ngày 14 /5/2003 của Thủ tướng Chính phủ về việc phê duyệt Phương án tổng thể sắp xếp, đổi mới doanh nghiệp nhà nước trực thuộc Ngân hàng Nhà nước Việt Nam giai đoạn 2003 - 2005;</w:t>
      </w:r>
      <w:r>
        <w:rPr>
          <w:b w:val="0"/>
          <w:i w:val="0"/>
        </w:rPr>
        <w:br/>
      </w:r>
      <w:r>
        <w:rPr>
          <w:b w:val="0"/>
          <w:i/>
        </w:rPr>
        <w:t>Theo đề nghị của Vụ trưởng Vụ Kế toán - Tài chính,</w:t>
      </w:r>
      <w:r>
        <w:rPr>
          <w:b w:val="0"/>
          <w:i w:val="0"/>
        </w:rPr>
        <w:br/>
      </w:r>
      <w:r>
        <w:rPr>
          <w:b/>
          <w:i w:val="0"/>
        </w:rPr>
        <w:t xml:space="preserve"> QUYẾT ĐỊNH</w:t>
      </w:r>
      <w:r>
        <w:rPr>
          <w:b w:val="0"/>
          <w:i w:val="0"/>
        </w:rPr>
        <w:br/>
      </w:r>
      <w:r>
        <w:rPr>
          <w:b/>
          <w:i w:val="0"/>
        </w:rPr>
        <w:t>Điều 1.</w:t>
      </w:r>
      <w:r>
        <w:rPr>
          <w:b/>
          <w:i w:val="0"/>
        </w:rPr>
        <w:t xml:space="preserve"> Nay sáp nhập:</w:t>
      </w:r>
      <w:r>
        <w:rPr>
          <w:b w:val="0"/>
          <w:i w:val="0"/>
        </w:rPr>
        <w:br/>
      </w:r>
      <w:r>
        <w:rPr>
          <w:b/>
          <w:i w:val="0"/>
        </w:rPr>
        <w:t>1</w:t>
      </w:r>
      <w:r>
        <w:rPr>
          <w:b w:val="0"/>
          <w:i w:val="0"/>
        </w:rPr>
        <w:t>. Tổng công ty Vàng bạc đá quý Việt Nam (gồm Văn phòng Tổng công ty, các đơn vị hạch toán phụ thuộc và các đơn vị sự nghiệp), và 29 đơn vị, Công ty Vàng bạc đá quý thành viên hạch toán độc lập thuộc Tổng công ty Vàng bạc đá quý Việt Nam vào Ngân hàng Nông nghiệp và Phát triển nông thôn Việt Nam (Phụ lục số 01 đính kèm);</w:t>
      </w:r>
      <w:r>
        <w:rPr>
          <w:b w:val="0"/>
          <w:i w:val="0"/>
        </w:rPr>
        <w:br/>
      </w:r>
      <w:r>
        <w:rPr>
          <w:b/>
          <w:i w:val="0"/>
        </w:rPr>
        <w:t>2</w:t>
      </w:r>
      <w:r>
        <w:rPr>
          <w:b w:val="0"/>
          <w:i w:val="0"/>
        </w:rPr>
        <w:t>. 12 Công ty Vàng bạc đá quý trực thuộc Tổng công ty Vàng bạc đá quý Việt Nam vào Ngân hàng Phát triển Nhà Đồng bằng sông Cửu Long (Phụ lục số 02 đính kèm).</w:t>
      </w:r>
      <w:r>
        <w:rPr>
          <w:b w:val="0"/>
          <w:i w:val="0"/>
        </w:rPr>
        <w:br/>
      </w:r>
      <w:r>
        <w:rPr>
          <w:b/>
          <w:i w:val="0"/>
        </w:rPr>
        <w:t>Điều 2.</w:t>
      </w:r>
      <w:r>
        <w:rPr>
          <w:b/>
          <w:i w:val="0"/>
        </w:rPr>
        <w:t xml:space="preserve"> </w:t>
      </w:r>
      <w:r>
        <w:rPr>
          <w:b w:val="0"/>
          <w:i w:val="0"/>
        </w:rPr>
        <w:t>Chủ tịch Hội đồng quản trị, Tổng giám đốc Tổng công ty Vàng bạc đá quý Việt Nam có trách nhiệm bàn giao tình hình hoạt động, vốn, tài sản, tổ chức cán bộ, và các tài liệu khác có liên quan đến hoạt động của các đơn vị có tên tại Điều 1 cho Ngân hàng Nông nghiệp và Phát triển nông thôn Việt Nam và Ngân hàng Phát triển Nhà Đồng bằng sông Cửu Long theo quy định hiện hành.</w:t>
      </w:r>
      <w:r>
        <w:rPr>
          <w:b w:val="0"/>
          <w:i w:val="0"/>
        </w:rPr>
        <w:br/>
      </w:r>
      <w:r>
        <w:rPr>
          <w:b/>
          <w:i w:val="0"/>
        </w:rPr>
        <w:t>Điều 3.</w:t>
      </w:r>
      <w:r>
        <w:rPr>
          <w:b/>
          <w:i w:val="0"/>
        </w:rPr>
        <w:t xml:space="preserve"> </w:t>
      </w:r>
      <w:r>
        <w:rPr>
          <w:b w:val="0"/>
          <w:i w:val="0"/>
        </w:rPr>
        <w:t>Ngân hàng Nông nghiệp và Phát triển nông thôn Việt Nam có trách nhiệm tiếp nhận và là đại diện hợp pháp về mọi quyền lợi và nghĩa vụ của Tổng công ty Vàng bạc đá quý Việt Nam trong những trường hợp mà các quyền lợi và nghĩa vụ này không thể phân chia cho các đơn vị, công ty thành viên nêu tại Điều 1.</w:t>
      </w:r>
      <w:r>
        <w:rPr>
          <w:b w:val="0"/>
          <w:i w:val="0"/>
        </w:rPr>
        <w:br/>
      </w:r>
      <w:r>
        <w:rPr>
          <w:b/>
          <w:i w:val="0"/>
        </w:rPr>
        <w:t>Điều 4.</w:t>
      </w:r>
      <w:r>
        <w:rPr>
          <w:b/>
          <w:i w:val="0"/>
        </w:rPr>
        <w:t xml:space="preserve"> </w:t>
      </w:r>
      <w:r>
        <w:rPr>
          <w:b w:val="0"/>
          <w:i w:val="0"/>
        </w:rPr>
        <w:t>Chấm dứt hoạt động của Tổng công ty Vàng bạc đá quý Việt Nam được thành lập theo Quyết định số 366/QĐ-NH5 ngày 21/12/1995 của Thống đốc Ngân hàng Nhà nước.</w:t>
      </w:r>
      <w:r>
        <w:rPr>
          <w:b w:val="0"/>
          <w:i w:val="0"/>
        </w:rPr>
        <w:br/>
      </w:r>
      <w:r>
        <w:rPr>
          <w:b/>
          <w:i w:val="0"/>
        </w:rPr>
        <w:t>Điều 5.</w:t>
      </w:r>
      <w:r>
        <w:rPr>
          <w:b/>
          <w:i w:val="0"/>
        </w:rPr>
        <w:t xml:space="preserve"> </w:t>
      </w:r>
      <w:r>
        <w:rPr>
          <w:b w:val="0"/>
          <w:i w:val="0"/>
        </w:rPr>
        <w:t>Quyết định này có hiệu lực thi hành kể từ ngày 01/07/2003.</w:t>
      </w:r>
      <w:r>
        <w:rPr>
          <w:b w:val="0"/>
          <w:i w:val="0"/>
        </w:rPr>
        <w:br/>
      </w:r>
      <w:r>
        <w:rPr>
          <w:b/>
          <w:i w:val="0"/>
        </w:rPr>
        <w:t>Điều 6.</w:t>
      </w:r>
      <w:r>
        <w:rPr>
          <w:b/>
          <w:i w:val="0"/>
        </w:rPr>
        <w:t xml:space="preserve"> </w:t>
      </w:r>
      <w:r>
        <w:rPr>
          <w:b w:val="0"/>
          <w:i w:val="0"/>
        </w:rPr>
        <w:t>Chánh Văn phòng, Vụ trưởng Vụ Kế toán - Tài chính, Thủ trưởng các đơn vị có liên quan thuộc Ngân hàng Nhà nước, Chủ tịch Hội đồng quản trị, Tổng giám đốc Tổng công ty Vàng bạc đá quý Việt Nam, Ngân hàng Nông nghiệp và Phát triển nông thôn Việt Nam và Ngân hàng phát triển Nhà đồng bằng sông Cửu Long chịu trách nhiệm thi hành Quyết định này./.</w:t>
      </w:r>
      <w:r>
        <w:rPr>
          <w:b w:val="0"/>
          <w:i w:val="0"/>
        </w:rPr>
        <w:br/>
      </w:r>
    </w:p>
    <w:p>
      <w:r>
        <w:rPr>
          <w:b w:val="0"/>
          <w:i w:val="0"/>
        </w:rPr>
        <w:br/>
      </w:r>
      <w:r>
        <w:rPr>
          <w:b w:val="0"/>
          <w:i w:val="0"/>
        </w:rPr>
        <w:br/>
      </w:r>
      <w:r>
        <w:rPr>
          <w:b/>
          <w:i w:val="0"/>
        </w:rPr>
        <w:br/>
      </w:r>
      <w:r>
        <w:rPr>
          <w:b/>
          <w:i w:val="0"/>
        </w:rPr>
        <w:br/>
        <w:t xml:space="preserve">      THỐNG ĐỐC NGÂN HÀNG NHÀ NƯỚC </w:t>
        <w:br/>
        <w:t xml:space="preserve">     </w:t>
      </w:r>
      <w:r>
        <w:rPr>
          <w:b/>
          <w:i w:val="0"/>
        </w:rPr>
        <w:br/>
      </w:r>
      <w:r>
        <w:rPr>
          <w:b/>
          <w:i/>
        </w:rPr>
        <w:br/>
        <w:t xml:space="preserve">      (Đã ký)</w:t>
        <w:br/>
        <w:t xml:space="preserve">     </w:t>
      </w:r>
      <w:r>
        <w:rPr>
          <w:b/>
          <w:i w:val="0"/>
        </w:rPr>
        <w:br/>
      </w:r>
      <w:r>
        <w:rPr>
          <w:b/>
          <w:i w:val="0"/>
        </w:rPr>
        <w:br/>
        <w:t xml:space="preserve">      Lê Đức Thuý</w:t>
        <w:br/>
        <w:t xml:space="preserve">     </w:t>
      </w:r>
      <w:r>
        <w:rPr>
          <w:b/>
          <w:i w:val="0"/>
        </w:rPr>
        <w:br/>
      </w:r>
      <w:r>
        <w:rPr>
          <w:b w:val="0"/>
          <w:i w:val="0"/>
        </w:rPr>
        <w:br/>
      </w:r>
      <w:r>
        <w:rPr>
          <w:b w:val="0"/>
          <w:i w:val="0"/>
        </w:rPr>
        <w:br/>
      </w:r>
    </w:p>
    <w:p>
      <w:r>
        <w:rPr>
          <w:b w:val="0"/>
          <w:i w:val="0"/>
        </w:rPr>
        <w:br/>
      </w:r>
      <w:r>
        <w:rPr>
          <w:b/>
          <w:i w:val="0"/>
        </w:rPr>
        <w:br/>
      </w:r>
      <w:r>
        <w:rPr>
          <w:b/>
          <w:i w:val="0"/>
        </w:rPr>
        <w:br/>
        <w:t xml:space="preserve">      THỐNG ĐỐC NGÂN HÀNG NHÀ NƯỚC </w:t>
        <w:br/>
        <w:t xml:space="preserve">     </w:t>
      </w:r>
      <w:r>
        <w:rPr>
          <w:b/>
          <w:i w:val="0"/>
        </w:rPr>
        <w:br/>
      </w:r>
      <w:r>
        <w:rPr>
          <w:b/>
          <w:i/>
        </w:rPr>
        <w:br/>
        <w:t xml:space="preserve">      (Đã ký)</w:t>
        <w:br/>
        <w:t xml:space="preserve">     </w:t>
      </w:r>
      <w:r>
        <w:rPr>
          <w:b/>
          <w:i w:val="0"/>
        </w:rPr>
        <w:br/>
      </w:r>
      <w:r>
        <w:rPr>
          <w:b/>
          <w:i w:val="0"/>
        </w:rPr>
        <w:br/>
        <w:t xml:space="preserve">      Lê Đức Thuý</w:t>
        <w:br/>
        <w:t xml:space="preserve">     </w:t>
      </w:r>
      <w:r>
        <w:rPr>
          <w:b/>
          <w:i w:val="0"/>
        </w:rPr>
        <w:br/>
      </w:r>
      <w:r>
        <w:rPr>
          <w:b w:val="0"/>
          <w:i w:val="0"/>
        </w:rPr>
        <w:br/>
      </w:r>
    </w:p>
    <w:p>
      <w:pPr>
        <w:jc w:val="center"/>
      </w:pPr>
      <w:r>
        <w:rPr>
          <w:b w:val="0"/>
          <w:i w:val="0"/>
        </w:rPr>
        <w:br/>
      </w:r>
      <w:r>
        <w:rPr>
          <w:b/>
          <w:i w:val="0"/>
        </w:rPr>
        <w:br/>
        <w:t xml:space="preserve">      THỐNG ĐỐC NGÂN HÀNG NHÀ NƯỚC </w:t>
        <w:br/>
        <w:t xml:space="preserve">     </w:t>
      </w:r>
      <w:r>
        <w:rPr>
          <w:b w:val="0"/>
          <w:i w:val="0"/>
        </w:rPr>
        <w:br/>
      </w:r>
      <w:r>
        <w:rPr>
          <w:b/>
          <w:i/>
        </w:rPr>
        <w:br/>
        <w:t xml:space="preserve">      (Đã ký)</w:t>
        <w:br/>
        <w:t xml:space="preserve">     </w:t>
      </w:r>
      <w:r>
        <w:rPr>
          <w:b w:val="0"/>
          <w:i w:val="0"/>
        </w:rPr>
        <w:br/>
      </w:r>
      <w:r>
        <w:rPr>
          <w:b/>
          <w:i w:val="0"/>
        </w:rPr>
        <w:br/>
        <w:t xml:space="preserve">      Lê Đức Thuý</w:t>
        <w:br/>
        <w:t xml:space="preserve">     </w:t>
      </w:r>
      <w:r>
        <w:rPr>
          <w:b w:val="0"/>
          <w:i w:val="0"/>
        </w:rPr>
        <w:br/>
      </w:r>
    </w:p>
    <w:p>
      <w:r>
        <w:rPr>
          <w:b w:val="0"/>
          <w:i w:val="0"/>
        </w:rPr>
        <w:br/>
        <w:t xml:space="preserve">      THỐNG ĐỐC NGÂN HÀNG NHÀ NƯỚC </w:t>
        <w:br/>
        <w:t xml:space="preserve">     </w:t>
      </w:r>
    </w:p>
    <w:p>
      <w:r>
        <w:rPr>
          <w:b w:val="0"/>
          <w:i w:val="0"/>
        </w:rPr>
        <w:br/>
        <w:t xml:space="preserve">      (Đã ký)</w:t>
        <w:br/>
        <w:t xml:space="preserve">     </w:t>
      </w:r>
    </w:p>
    <w:p>
      <w:r>
        <w:rPr>
          <w:b w:val="0"/>
          <w:i w:val="0"/>
        </w:rPr>
        <w:br/>
        <w:t xml:space="preserve">      Lê Đức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