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65/2002/QĐ-BTC Về việc bỏ quy định tỷ lệ thu chênh lệch giá đối với mặt hàng clinker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65/2002/QĐ-BTC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22 tháng 5 năm 2002</w:t>
            </w:r>
          </w:p>
        </w:tc>
      </w:tr>
    </w:tbl>
    <w:p>
      <w:pPr>
        <w:jc w:val="center"/>
      </w:pPr>
      <w:r>
        <w:rPr>
          <w:b/>
          <w:i w:val="0"/>
        </w:rPr>
        <w:t>QUYẾT ĐỊNH</w:t>
      </w:r>
    </w:p>
    <w:p>
      <w:pPr>
        <w:jc w:val="center"/>
      </w:pPr>
      <w:r>
        <w:rPr>
          <w:b/>
          <w:i w:val="0"/>
        </w:rPr>
        <w:t xml:space="preserve">Về việc bỏ quy định tỷ lệ thu chênh lệch giá đối với mặt hàng </w:t>
      </w:r>
    </w:p>
    <w:p>
      <w:pPr>
        <w:jc w:val="center"/>
      </w:pPr>
      <w:r>
        <w:rPr>
          <w:b/>
          <w:i w:val="0"/>
        </w:rPr>
        <w:t>Clinker nhập khẩu</w:t>
      </w:r>
    </w:p>
    <w:p>
      <w:pPr>
        <w:jc w:val="center"/>
      </w:pPr>
      <w:r>
        <w:rPr>
          <w:b/>
          <w:i w:val="0"/>
        </w:rPr>
        <w:t>BỘ TRƯỞNG BỘ TÀI CHÍNH</w:t>
      </w:r>
    </w:p>
    <w:p>
      <w:pPr>
        <w:jc w:val="both"/>
      </w:pPr>
      <w:r>
        <w:rPr>
          <w:b w:val="0"/>
          <w:i/>
        </w:rPr>
        <w:t>Căn cứ Nghị định số 15/CP ngày 02/03/1993 của Chính phủ về nhiệm vụ, quyền hạn và trách nhiệm quản lý Nhà nước của Bộ, Cơ quan ngang Bộ;</w:t>
      </w:r>
    </w:p>
    <w:p>
      <w:pPr>
        <w:jc w:val="both"/>
      </w:pPr>
      <w:r>
        <w:rPr>
          <w:b w:val="0"/>
          <w:i/>
        </w:rPr>
        <w:t>Căn cứ Nghị định số 178/CP ngày 28/10/1994 của Chính phủ về nhiệm vụ, quyền hạn và tổ chức bộ máy Bộ Tài chính;</w:t>
      </w:r>
    </w:p>
    <w:p>
      <w:pPr>
        <w:jc w:val="both"/>
      </w:pPr>
      <w:r>
        <w:rPr>
          <w:b w:val="0"/>
          <w:i/>
        </w:rPr>
        <w:t>Căn cứ đề nghị của Ban Vật giá Chính phủ tại công văn số 353/BVGCP-TLSX ngày 10/05/2002; của Bộ Xây dựng tại công văn số 660BXD/KH-TK ngày 06/05/2002 và của Tổng Công ty xi măng Việt nam tại công văn số 635/XMVN-KH ngày 03/05/2002 đề nghị bỏ thu chênh lệch giá đối với mặt hàng clinker.</w:t>
      </w:r>
    </w:p>
    <w:p>
      <w:pPr>
        <w:jc w:val="center"/>
      </w:pPr>
      <w:r>
        <w:rPr>
          <w:b/>
          <w:i w:val="0"/>
        </w:rPr>
        <w:t>QUYẾT ĐỊNH:</w:t>
      </w:r>
    </w:p>
    <w:p>
      <w:pPr>
        <w:jc w:val="both"/>
      </w:pPr>
      <w:r>
        <w:rPr>
          <w:b/>
          <w:i w:val="0"/>
        </w:rPr>
        <w:t>Điều 1:</w:t>
      </w:r>
      <w:r>
        <w:rPr>
          <w:b/>
          <w:i w:val="0"/>
        </w:rPr>
        <w:t xml:space="preserve"> </w:t>
      </w:r>
      <w:r>
        <w:rPr>
          <w:b w:val="0"/>
          <w:i w:val="0"/>
        </w:rPr>
        <w:t>Bãi bỏ tỷ lệ thu chênh lệch giá đối với mặt hàng clinker thuộc mã số 2523.10.00 quy định tại Quyết định số 71/2001/QĐ/BTC ngày 27/07/2001 của Bộ trưởng Bộ Tài chính về việc quy định tỷ lệ thu chênh lệch giá đối với mặt hàng clinker nhập khẩu.</w:t>
      </w:r>
    </w:p>
    <w:p>
      <w:pPr>
        <w:jc w:val="both"/>
      </w:pPr>
      <w:r>
        <w:rPr>
          <w:b/>
          <w:i w:val="0"/>
        </w:rPr>
        <w:t>Điều 2:</w:t>
      </w:r>
      <w:r>
        <w:rPr>
          <w:b w:val="0"/>
          <w:i w:val="0"/>
        </w:rPr>
        <w:t xml:space="preserve"> Quyết định này có hiệu lực thi hành và áp dụng cho tất cả các Tờ khai hàng nhập khẩu đã nộp cho cơ quan Hải quan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